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color w:val="auto"/>
          <w:spacing w:val="0"/>
          <w:sz w:val="32"/>
          <w:szCs w:val="32"/>
          <w:lang w:eastAsia="zh-CN"/>
        </w:rPr>
      </w:pPr>
      <w:r>
        <w:rPr>
          <w:rFonts w:hint="eastAsia" w:ascii="黑体" w:hAnsi="黑体" w:eastAsia="黑体" w:cs="黑体"/>
          <w:color w:val="auto"/>
          <w:spacing w:val="0"/>
          <w:sz w:val="32"/>
          <w:szCs w:val="32"/>
          <w:lang w:eastAsia="zh-CN"/>
        </w:rPr>
        <w:t>附件</w:t>
      </w:r>
    </w:p>
    <w:p>
      <w:pPr>
        <w:jc w:val="center"/>
        <w:rPr>
          <w:rFonts w:hint="eastAsia" w:ascii="方正小标宋简体" w:hAnsi="方正小标宋简体" w:eastAsia="方正小标宋简体" w:cs="方正小标宋简体"/>
          <w:color w:val="auto"/>
          <w:spacing w:val="0"/>
          <w:sz w:val="32"/>
          <w:szCs w:val="32"/>
          <w:lang w:eastAsia="zh-CN"/>
        </w:rPr>
      </w:pPr>
      <w:r>
        <w:rPr>
          <w:rFonts w:hint="eastAsia" w:ascii="方正小标宋简体" w:hAnsi="方正小标宋简体" w:eastAsia="方正小标宋简体" w:cs="方正小标宋简体"/>
          <w:color w:val="auto"/>
          <w:spacing w:val="0"/>
          <w:sz w:val="32"/>
          <w:szCs w:val="32"/>
          <w:lang w:eastAsia="zh-CN"/>
        </w:rPr>
        <w:t>学校</w:t>
      </w:r>
      <w:r>
        <w:rPr>
          <w:rFonts w:hint="eastAsia" w:ascii="方正小标宋简体" w:hAnsi="方正小标宋简体" w:eastAsia="方正小标宋简体" w:cs="方正小标宋简体"/>
          <w:color w:val="auto"/>
          <w:spacing w:val="0"/>
          <w:sz w:val="32"/>
          <w:szCs w:val="32"/>
        </w:rPr>
        <w:t>202</w:t>
      </w:r>
      <w:r>
        <w:rPr>
          <w:rFonts w:hint="eastAsia" w:ascii="方正小标宋简体" w:hAnsi="方正小标宋简体" w:eastAsia="方正小标宋简体" w:cs="方正小标宋简体"/>
          <w:color w:val="auto"/>
          <w:spacing w:val="0"/>
          <w:sz w:val="32"/>
          <w:szCs w:val="32"/>
          <w:lang w:val="en-US" w:eastAsia="zh-CN"/>
        </w:rPr>
        <w:t>2</w:t>
      </w:r>
      <w:r>
        <w:rPr>
          <w:rFonts w:hint="eastAsia" w:ascii="方正小标宋简体" w:hAnsi="方正小标宋简体" w:eastAsia="方正小标宋简体" w:cs="方正小标宋简体"/>
          <w:color w:val="auto"/>
          <w:spacing w:val="0"/>
          <w:sz w:val="32"/>
          <w:szCs w:val="32"/>
        </w:rPr>
        <w:t>年工作要点</w:t>
      </w:r>
      <w:r>
        <w:rPr>
          <w:rFonts w:hint="eastAsia" w:ascii="方正小标宋简体" w:hAnsi="方正小标宋简体" w:eastAsia="方正小标宋简体" w:cs="方正小标宋简体"/>
          <w:color w:val="auto"/>
          <w:spacing w:val="0"/>
          <w:sz w:val="32"/>
          <w:szCs w:val="32"/>
          <w:lang w:eastAsia="zh-CN"/>
        </w:rPr>
        <w:t>任务分解表</w:t>
      </w:r>
    </w:p>
    <w:tbl>
      <w:tblPr>
        <w:tblStyle w:val="6"/>
        <w:tblW w:w="14768" w:type="dxa"/>
        <w:tblInd w:w="-1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5"/>
        <w:gridCol w:w="645"/>
        <w:gridCol w:w="8963"/>
        <w:gridCol w:w="1695"/>
        <w:gridCol w:w="2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30" w:type="dxa"/>
            <w:gridSpan w:val="2"/>
            <w:vAlign w:val="center"/>
          </w:tcPr>
          <w:p>
            <w:pPr>
              <w:jc w:val="center"/>
              <w:rPr>
                <w:rFonts w:hint="eastAsia" w:ascii="黑体" w:hAnsi="黑体" w:eastAsia="黑体" w:cs="黑体"/>
                <w:color w:val="auto"/>
                <w:spacing w:val="0"/>
                <w:sz w:val="24"/>
                <w:szCs w:val="24"/>
                <w:vertAlign w:val="baseline"/>
                <w:lang w:eastAsia="zh-CN"/>
              </w:rPr>
            </w:pPr>
            <w:r>
              <w:rPr>
                <w:rFonts w:hint="eastAsia" w:ascii="黑体" w:hAnsi="黑体" w:eastAsia="黑体" w:cs="黑体"/>
                <w:color w:val="auto"/>
                <w:spacing w:val="0"/>
                <w:sz w:val="24"/>
                <w:szCs w:val="24"/>
                <w:vertAlign w:val="baseline"/>
                <w:lang w:eastAsia="zh-CN"/>
              </w:rPr>
              <w:t>序号</w:t>
            </w:r>
          </w:p>
        </w:tc>
        <w:tc>
          <w:tcPr>
            <w:tcW w:w="8963" w:type="dxa"/>
            <w:vAlign w:val="center"/>
          </w:tcPr>
          <w:p>
            <w:pPr>
              <w:jc w:val="center"/>
              <w:rPr>
                <w:rFonts w:hint="eastAsia" w:ascii="黑体" w:hAnsi="黑体" w:eastAsia="黑体" w:cs="黑体"/>
                <w:color w:val="auto"/>
                <w:spacing w:val="0"/>
                <w:sz w:val="24"/>
                <w:szCs w:val="24"/>
                <w:vertAlign w:val="baseline"/>
                <w:lang w:eastAsia="zh-CN"/>
              </w:rPr>
            </w:pPr>
            <w:r>
              <w:rPr>
                <w:rFonts w:hint="eastAsia" w:ascii="黑体" w:hAnsi="黑体" w:eastAsia="黑体" w:cs="黑体"/>
                <w:color w:val="auto"/>
                <w:spacing w:val="0"/>
                <w:sz w:val="24"/>
                <w:szCs w:val="24"/>
                <w:vertAlign w:val="baseline"/>
                <w:lang w:eastAsia="zh-CN"/>
              </w:rPr>
              <w:t>工作要点</w:t>
            </w:r>
          </w:p>
        </w:tc>
        <w:tc>
          <w:tcPr>
            <w:tcW w:w="1695" w:type="dxa"/>
            <w:vAlign w:val="center"/>
          </w:tcPr>
          <w:p>
            <w:pPr>
              <w:jc w:val="center"/>
              <w:rPr>
                <w:rFonts w:hint="eastAsia" w:ascii="黑体" w:hAnsi="黑体" w:eastAsia="黑体" w:cs="黑体"/>
                <w:color w:val="auto"/>
                <w:spacing w:val="0"/>
                <w:sz w:val="24"/>
                <w:szCs w:val="24"/>
                <w:vertAlign w:val="baseline"/>
                <w:lang w:eastAsia="zh-CN"/>
              </w:rPr>
            </w:pPr>
            <w:r>
              <w:rPr>
                <w:rFonts w:hint="eastAsia" w:ascii="黑体" w:hAnsi="黑体" w:eastAsia="黑体" w:cs="黑体"/>
                <w:color w:val="auto"/>
                <w:spacing w:val="0"/>
                <w:sz w:val="24"/>
                <w:szCs w:val="24"/>
                <w:vertAlign w:val="baseline"/>
                <w:lang w:eastAsia="zh-CN"/>
              </w:rPr>
              <w:t>牵头部门</w:t>
            </w:r>
          </w:p>
        </w:tc>
        <w:tc>
          <w:tcPr>
            <w:tcW w:w="2280" w:type="dxa"/>
            <w:vAlign w:val="center"/>
          </w:tcPr>
          <w:p>
            <w:pPr>
              <w:jc w:val="center"/>
              <w:rPr>
                <w:rFonts w:hint="eastAsia" w:ascii="黑体" w:hAnsi="黑体" w:eastAsia="黑体" w:cs="黑体"/>
                <w:color w:val="auto"/>
                <w:spacing w:val="0"/>
                <w:sz w:val="24"/>
                <w:szCs w:val="24"/>
                <w:vertAlign w:val="baseline"/>
                <w:lang w:eastAsia="zh-CN"/>
              </w:rPr>
            </w:pPr>
            <w:r>
              <w:rPr>
                <w:rFonts w:hint="eastAsia" w:ascii="黑体" w:hAnsi="黑体" w:eastAsia="黑体" w:cs="黑体"/>
                <w:color w:val="auto"/>
                <w:spacing w:val="0"/>
                <w:sz w:val="24"/>
                <w:szCs w:val="24"/>
                <w:vertAlign w:val="baseline"/>
                <w:lang w:eastAsia="zh-CN"/>
              </w:rPr>
              <w:t>协办部门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68" w:type="dxa"/>
            <w:gridSpan w:val="5"/>
            <w:vAlign w:val="center"/>
          </w:tcPr>
          <w:p>
            <w:pPr>
              <w:jc w:val="center"/>
              <w:rPr>
                <w:rFonts w:hint="eastAsia" w:ascii="黑体" w:hAnsi="黑体" w:eastAsia="黑体" w:cs="黑体"/>
                <w:color w:val="auto"/>
                <w:spacing w:val="0"/>
                <w:sz w:val="24"/>
                <w:szCs w:val="24"/>
                <w:vertAlign w:val="baseline"/>
                <w:lang w:val="en-US" w:eastAsia="zh-CN"/>
              </w:rPr>
            </w:pPr>
            <w:r>
              <w:rPr>
                <w:rFonts w:hint="eastAsia" w:ascii="黑体" w:hAnsi="黑体" w:eastAsia="黑体" w:cs="黑体"/>
                <w:color w:val="auto"/>
                <w:spacing w:val="0"/>
                <w:sz w:val="24"/>
                <w:szCs w:val="24"/>
                <w:vertAlign w:val="baseline"/>
                <w:lang w:val="en-US" w:eastAsia="zh-CN"/>
              </w:rPr>
              <w:t>一、强化政治建设，加强党的全面领导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85" w:type="dxa"/>
            <w:vMerge w:val="restart"/>
            <w:vAlign w:val="center"/>
          </w:tcPr>
          <w:p>
            <w:pPr>
              <w:jc w:val="center"/>
              <w:rPr>
                <w:rFonts w:hint="eastAsia" w:ascii="仿宋" w:hAnsi="仿宋" w:eastAsia="仿宋" w:cs="仿宋"/>
                <w:color w:val="auto"/>
                <w:spacing w:val="0"/>
                <w:sz w:val="24"/>
                <w:szCs w:val="24"/>
                <w:vertAlign w:val="baseline"/>
                <w:lang w:eastAsia="zh-CN"/>
              </w:rPr>
            </w:pPr>
            <w:r>
              <w:rPr>
                <w:rFonts w:hint="eastAsia" w:ascii="仿宋" w:hAnsi="仿宋" w:eastAsia="仿宋" w:cs="仿宋"/>
                <w:color w:val="auto"/>
                <w:spacing w:val="0"/>
                <w:sz w:val="24"/>
                <w:szCs w:val="24"/>
                <w:vertAlign w:val="baseline"/>
                <w:lang w:eastAsia="zh-CN"/>
              </w:rPr>
              <w:t>（一）学习宣传阐释党的创新理论</w:t>
            </w:r>
          </w:p>
        </w:tc>
        <w:tc>
          <w:tcPr>
            <w:tcW w:w="645" w:type="dxa"/>
            <w:vAlign w:val="center"/>
          </w:tcPr>
          <w:p>
            <w:pPr>
              <w:jc w:val="center"/>
              <w:rPr>
                <w:rFonts w:hint="default"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1</w:t>
            </w:r>
          </w:p>
        </w:tc>
        <w:tc>
          <w:tcPr>
            <w:tcW w:w="8963" w:type="dxa"/>
            <w:vAlign w:val="center"/>
          </w:tcPr>
          <w:p>
            <w:pPr>
              <w:jc w:val="both"/>
              <w:rPr>
                <w:rFonts w:hint="eastAsia" w:ascii="仿宋" w:hAnsi="仿宋" w:eastAsia="仿宋" w:cs="仿宋"/>
                <w:color w:val="auto"/>
                <w:spacing w:val="0"/>
                <w:sz w:val="24"/>
                <w:szCs w:val="24"/>
                <w:vertAlign w:val="baseline"/>
                <w:lang w:eastAsia="zh-CN"/>
              </w:rPr>
            </w:pPr>
            <w:r>
              <w:rPr>
                <w:rFonts w:hint="eastAsia" w:ascii="仿宋" w:hAnsi="仿宋" w:eastAsia="仿宋" w:cs="仿宋"/>
                <w:color w:val="auto"/>
                <w:spacing w:val="0"/>
                <w:sz w:val="24"/>
                <w:szCs w:val="24"/>
                <w:vertAlign w:val="baseline"/>
                <w:lang w:eastAsia="zh-CN"/>
              </w:rPr>
              <w:t>深化党委理论中心组学习，把学习贯彻习近平新时代中国特色社会主义思想作为首要政治任务，学懂弄通做实习近平总书记关于教育的重要论述。</w:t>
            </w:r>
          </w:p>
        </w:tc>
        <w:tc>
          <w:tcPr>
            <w:tcW w:w="1695" w:type="dxa"/>
            <w:vAlign w:val="center"/>
          </w:tcPr>
          <w:p>
            <w:pPr>
              <w:jc w:val="center"/>
              <w:rPr>
                <w:rFonts w:hint="default"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宣传统战部</w:t>
            </w:r>
          </w:p>
        </w:tc>
        <w:tc>
          <w:tcPr>
            <w:tcW w:w="2280" w:type="dxa"/>
            <w:vAlign w:val="center"/>
          </w:tcPr>
          <w:p>
            <w:pPr>
              <w:jc w:val="center"/>
              <w:rPr>
                <w:rFonts w:hint="eastAsia" w:ascii="仿宋" w:hAnsi="仿宋" w:eastAsia="仿宋" w:cs="仿宋"/>
                <w:color w:val="auto"/>
                <w:spacing w:val="0"/>
                <w:sz w:val="24"/>
                <w:szCs w:val="24"/>
                <w:vertAlign w:val="baseline"/>
                <w:lang w:eastAsia="zh-CN"/>
              </w:rPr>
            </w:pPr>
            <w:r>
              <w:rPr>
                <w:rFonts w:hint="eastAsia" w:ascii="仿宋" w:hAnsi="仿宋" w:eastAsia="仿宋" w:cs="仿宋"/>
                <w:color w:val="auto"/>
                <w:spacing w:val="0"/>
                <w:sz w:val="24"/>
                <w:szCs w:val="24"/>
                <w:vertAlign w:val="baseline"/>
                <w:lang w:eastAsia="zh-CN"/>
              </w:rPr>
              <w:t>党政办公室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85" w:type="dxa"/>
            <w:vMerge w:val="continue"/>
            <w:vAlign w:val="center"/>
          </w:tcPr>
          <w:p>
            <w:pPr>
              <w:jc w:val="center"/>
              <w:rPr>
                <w:rFonts w:hint="eastAsia" w:ascii="仿宋" w:hAnsi="仿宋" w:eastAsia="仿宋" w:cs="仿宋"/>
                <w:color w:val="auto"/>
                <w:spacing w:val="0"/>
                <w:sz w:val="24"/>
                <w:szCs w:val="24"/>
                <w:vertAlign w:val="baseline"/>
                <w:lang w:eastAsia="zh-CN"/>
              </w:rPr>
            </w:pPr>
          </w:p>
        </w:tc>
        <w:tc>
          <w:tcPr>
            <w:tcW w:w="645" w:type="dxa"/>
            <w:vAlign w:val="center"/>
          </w:tcPr>
          <w:p>
            <w:pPr>
              <w:jc w:val="center"/>
              <w:rPr>
                <w:rFonts w:hint="eastAsia"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2</w:t>
            </w:r>
          </w:p>
        </w:tc>
        <w:tc>
          <w:tcPr>
            <w:tcW w:w="8963" w:type="dxa"/>
            <w:vAlign w:val="center"/>
          </w:tcPr>
          <w:p>
            <w:pPr>
              <w:jc w:val="both"/>
              <w:rPr>
                <w:rFonts w:hint="eastAsia"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eastAsia="zh-CN"/>
              </w:rPr>
              <w:t>把习近平总书记重要指示批示作为政治要件和“第一议题”，推进重大决策部署落实落地。</w:t>
            </w:r>
          </w:p>
        </w:tc>
        <w:tc>
          <w:tcPr>
            <w:tcW w:w="1695" w:type="dxa"/>
            <w:vAlign w:val="center"/>
          </w:tcPr>
          <w:p>
            <w:pPr>
              <w:jc w:val="center"/>
              <w:rPr>
                <w:rFonts w:hint="eastAsia"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eastAsia="zh-CN"/>
              </w:rPr>
              <w:t>党政办公室</w:t>
            </w:r>
          </w:p>
        </w:tc>
        <w:tc>
          <w:tcPr>
            <w:tcW w:w="2280" w:type="dxa"/>
            <w:vAlign w:val="center"/>
          </w:tcPr>
          <w:p>
            <w:pPr>
              <w:jc w:val="center"/>
              <w:rPr>
                <w:rFonts w:hint="eastAsia"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组织部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85" w:type="dxa"/>
            <w:vMerge w:val="continue"/>
            <w:vAlign w:val="center"/>
          </w:tcPr>
          <w:p>
            <w:pPr>
              <w:jc w:val="center"/>
              <w:rPr>
                <w:rFonts w:hint="eastAsia" w:ascii="仿宋" w:hAnsi="仿宋" w:eastAsia="仿宋" w:cs="仿宋"/>
                <w:color w:val="auto"/>
                <w:spacing w:val="0"/>
                <w:sz w:val="24"/>
                <w:szCs w:val="24"/>
                <w:vertAlign w:val="baseline"/>
                <w:lang w:eastAsia="zh-CN"/>
              </w:rPr>
            </w:pPr>
          </w:p>
        </w:tc>
        <w:tc>
          <w:tcPr>
            <w:tcW w:w="645" w:type="dxa"/>
            <w:vAlign w:val="center"/>
          </w:tcPr>
          <w:p>
            <w:pPr>
              <w:jc w:val="center"/>
              <w:rPr>
                <w:rFonts w:hint="default"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3</w:t>
            </w:r>
          </w:p>
        </w:tc>
        <w:tc>
          <w:tcPr>
            <w:tcW w:w="8963" w:type="dxa"/>
            <w:vAlign w:val="center"/>
          </w:tcPr>
          <w:p>
            <w:pPr>
              <w:jc w:val="both"/>
              <w:rPr>
                <w:rFonts w:hint="eastAsia" w:ascii="仿宋" w:hAnsi="仿宋" w:eastAsia="仿宋" w:cs="仿宋"/>
                <w:color w:val="auto"/>
                <w:spacing w:val="0"/>
                <w:sz w:val="24"/>
                <w:szCs w:val="24"/>
                <w:vertAlign w:val="baseline"/>
                <w:lang w:eastAsia="zh-CN"/>
              </w:rPr>
            </w:pPr>
            <w:r>
              <w:rPr>
                <w:rFonts w:hint="eastAsia" w:ascii="仿宋" w:hAnsi="仿宋" w:eastAsia="仿宋" w:cs="仿宋"/>
                <w:color w:val="auto"/>
                <w:spacing w:val="0"/>
                <w:sz w:val="24"/>
                <w:szCs w:val="24"/>
                <w:vertAlign w:val="baseline"/>
                <w:lang w:eastAsia="zh-CN"/>
              </w:rPr>
              <w:t>围绕迎接宣传贯彻党的二十大，精心组织主题宣传，为全校广大师生喜迎党的二十大营造浓厚氛围。</w:t>
            </w:r>
          </w:p>
        </w:tc>
        <w:tc>
          <w:tcPr>
            <w:tcW w:w="1695" w:type="dxa"/>
            <w:vAlign w:val="center"/>
          </w:tcPr>
          <w:p>
            <w:pPr>
              <w:jc w:val="center"/>
              <w:rPr>
                <w:rFonts w:hint="eastAsia" w:ascii="仿宋" w:hAnsi="仿宋" w:eastAsia="仿宋" w:cs="仿宋"/>
                <w:color w:val="auto"/>
                <w:spacing w:val="0"/>
                <w:sz w:val="24"/>
                <w:szCs w:val="24"/>
                <w:vertAlign w:val="baseline"/>
                <w:lang w:eastAsia="zh-CN"/>
              </w:rPr>
            </w:pPr>
            <w:r>
              <w:rPr>
                <w:rFonts w:hint="eastAsia" w:ascii="仿宋" w:hAnsi="仿宋" w:eastAsia="仿宋" w:cs="仿宋"/>
                <w:color w:val="auto"/>
                <w:spacing w:val="0"/>
                <w:sz w:val="24"/>
                <w:szCs w:val="24"/>
                <w:vertAlign w:val="baseline"/>
                <w:lang w:val="en-US" w:eastAsia="zh-CN"/>
              </w:rPr>
              <w:t>宣传统战部</w:t>
            </w:r>
          </w:p>
        </w:tc>
        <w:tc>
          <w:tcPr>
            <w:tcW w:w="2280" w:type="dxa"/>
            <w:vAlign w:val="center"/>
          </w:tcPr>
          <w:p>
            <w:pPr>
              <w:jc w:val="center"/>
              <w:rPr>
                <w:rFonts w:hint="eastAsia" w:ascii="仿宋" w:hAnsi="仿宋" w:eastAsia="仿宋" w:cs="仿宋"/>
                <w:color w:val="auto"/>
                <w:spacing w:val="0"/>
                <w:sz w:val="24"/>
                <w:szCs w:val="24"/>
                <w:vertAlign w:val="baseline"/>
                <w:lang w:eastAsia="zh-CN"/>
              </w:rPr>
            </w:pPr>
            <w:r>
              <w:rPr>
                <w:rFonts w:hint="eastAsia" w:ascii="仿宋" w:hAnsi="仿宋" w:eastAsia="仿宋" w:cs="仿宋"/>
                <w:color w:val="auto"/>
                <w:spacing w:val="0"/>
                <w:sz w:val="24"/>
                <w:szCs w:val="24"/>
                <w:vertAlign w:val="baseline"/>
                <w:lang w:eastAsia="zh-CN"/>
              </w:rPr>
              <w:t>学生工作部</w:t>
            </w:r>
          </w:p>
          <w:p>
            <w:pPr>
              <w:jc w:val="center"/>
              <w:rPr>
                <w:rFonts w:hint="eastAsia" w:ascii="仿宋" w:hAnsi="仿宋" w:eastAsia="仿宋" w:cs="仿宋"/>
                <w:color w:val="auto"/>
                <w:spacing w:val="0"/>
                <w:sz w:val="24"/>
                <w:szCs w:val="24"/>
                <w:vertAlign w:val="baseline"/>
                <w:lang w:eastAsia="zh-CN"/>
              </w:rPr>
            </w:pPr>
            <w:r>
              <w:rPr>
                <w:rFonts w:hint="eastAsia" w:ascii="仿宋" w:hAnsi="仿宋" w:eastAsia="仿宋" w:cs="仿宋"/>
                <w:color w:val="auto"/>
                <w:spacing w:val="0"/>
                <w:sz w:val="24"/>
                <w:szCs w:val="24"/>
                <w:vertAlign w:val="baseline"/>
                <w:lang w:eastAsia="zh-CN"/>
              </w:rPr>
              <w:t>校团委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85" w:type="dxa"/>
            <w:vMerge w:val="continue"/>
            <w:vAlign w:val="center"/>
          </w:tcPr>
          <w:p>
            <w:pPr>
              <w:jc w:val="center"/>
              <w:rPr>
                <w:rFonts w:hint="eastAsia" w:ascii="仿宋" w:hAnsi="仿宋" w:eastAsia="仿宋" w:cs="仿宋"/>
                <w:color w:val="auto"/>
                <w:spacing w:val="0"/>
                <w:sz w:val="24"/>
                <w:szCs w:val="24"/>
                <w:vertAlign w:val="baseline"/>
                <w:lang w:eastAsia="zh-CN"/>
              </w:rPr>
            </w:pPr>
          </w:p>
        </w:tc>
        <w:tc>
          <w:tcPr>
            <w:tcW w:w="645" w:type="dxa"/>
            <w:vAlign w:val="center"/>
          </w:tcPr>
          <w:p>
            <w:pPr>
              <w:jc w:val="center"/>
              <w:rPr>
                <w:rFonts w:hint="default"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4</w:t>
            </w:r>
          </w:p>
        </w:tc>
        <w:tc>
          <w:tcPr>
            <w:tcW w:w="8963" w:type="dxa"/>
            <w:vAlign w:val="center"/>
          </w:tcPr>
          <w:p>
            <w:pPr>
              <w:jc w:val="both"/>
              <w:rPr>
                <w:rFonts w:hint="eastAsia" w:ascii="仿宋" w:hAnsi="仿宋" w:eastAsia="仿宋" w:cs="仿宋"/>
                <w:color w:val="auto"/>
                <w:spacing w:val="0"/>
                <w:sz w:val="24"/>
                <w:szCs w:val="24"/>
                <w:vertAlign w:val="baseline"/>
                <w:lang w:eastAsia="zh-CN"/>
              </w:rPr>
            </w:pPr>
            <w:r>
              <w:rPr>
                <w:rFonts w:hint="eastAsia" w:ascii="仿宋" w:hAnsi="仿宋" w:eastAsia="仿宋" w:cs="仿宋"/>
                <w:color w:val="auto"/>
                <w:spacing w:val="0"/>
                <w:sz w:val="24"/>
                <w:szCs w:val="24"/>
                <w:vertAlign w:val="baseline"/>
                <w:lang w:eastAsia="zh-CN"/>
              </w:rPr>
              <w:t>组织实施党建专题研究，深入研究阐释伟大建党精神。</w:t>
            </w:r>
          </w:p>
        </w:tc>
        <w:tc>
          <w:tcPr>
            <w:tcW w:w="1695" w:type="dxa"/>
            <w:vAlign w:val="center"/>
          </w:tcPr>
          <w:p>
            <w:pPr>
              <w:jc w:val="center"/>
              <w:rPr>
                <w:rFonts w:hint="eastAsia" w:ascii="仿宋" w:hAnsi="仿宋" w:eastAsia="仿宋" w:cs="仿宋"/>
                <w:color w:val="auto"/>
                <w:spacing w:val="0"/>
                <w:sz w:val="24"/>
                <w:szCs w:val="24"/>
                <w:vertAlign w:val="baseline"/>
                <w:lang w:eastAsia="zh-CN"/>
              </w:rPr>
            </w:pPr>
            <w:r>
              <w:rPr>
                <w:rFonts w:hint="eastAsia" w:ascii="仿宋" w:hAnsi="仿宋" w:eastAsia="仿宋" w:cs="仿宋"/>
                <w:color w:val="auto"/>
                <w:spacing w:val="0"/>
                <w:sz w:val="24"/>
                <w:szCs w:val="24"/>
                <w:vertAlign w:val="baseline"/>
                <w:lang w:eastAsia="zh-CN"/>
              </w:rPr>
              <w:t>组织部</w:t>
            </w:r>
          </w:p>
        </w:tc>
        <w:tc>
          <w:tcPr>
            <w:tcW w:w="2280" w:type="dxa"/>
            <w:vAlign w:val="center"/>
          </w:tcPr>
          <w:p>
            <w:pPr>
              <w:jc w:val="center"/>
              <w:rPr>
                <w:rFonts w:hint="eastAsia" w:ascii="仿宋" w:hAnsi="仿宋" w:eastAsia="仿宋" w:cs="仿宋"/>
                <w:color w:val="auto"/>
                <w:spacing w:val="0"/>
                <w:sz w:val="24"/>
                <w:szCs w:val="24"/>
                <w:vertAlign w:val="baseline"/>
                <w:lang w:eastAsia="zh-CN"/>
              </w:rPr>
            </w:pPr>
            <w:r>
              <w:rPr>
                <w:rFonts w:hint="eastAsia" w:ascii="仿宋" w:hAnsi="仿宋" w:eastAsia="仿宋" w:cs="仿宋"/>
                <w:color w:val="auto"/>
                <w:spacing w:val="0"/>
                <w:sz w:val="24"/>
                <w:szCs w:val="24"/>
                <w:vertAlign w:val="baseline"/>
                <w:lang w:eastAsia="zh-CN"/>
              </w:rPr>
              <w:t>马院、科研处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85" w:type="dxa"/>
            <w:vMerge w:val="continue"/>
            <w:vAlign w:val="center"/>
          </w:tcPr>
          <w:p>
            <w:pPr>
              <w:jc w:val="center"/>
              <w:rPr>
                <w:rFonts w:hint="eastAsia" w:ascii="仿宋" w:hAnsi="仿宋" w:eastAsia="仿宋" w:cs="仿宋"/>
                <w:color w:val="auto"/>
                <w:spacing w:val="0"/>
                <w:sz w:val="24"/>
                <w:szCs w:val="24"/>
                <w:vertAlign w:val="baseline"/>
                <w:lang w:eastAsia="zh-CN"/>
              </w:rPr>
            </w:pPr>
          </w:p>
        </w:tc>
        <w:tc>
          <w:tcPr>
            <w:tcW w:w="645" w:type="dxa"/>
            <w:vAlign w:val="center"/>
          </w:tcPr>
          <w:p>
            <w:pPr>
              <w:jc w:val="center"/>
              <w:rPr>
                <w:rFonts w:hint="default"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5</w:t>
            </w:r>
          </w:p>
        </w:tc>
        <w:tc>
          <w:tcPr>
            <w:tcW w:w="8963" w:type="dxa"/>
            <w:vAlign w:val="center"/>
          </w:tcPr>
          <w:p>
            <w:pPr>
              <w:jc w:val="both"/>
              <w:rPr>
                <w:rFonts w:hint="eastAsia" w:ascii="仿宋" w:hAnsi="仿宋" w:eastAsia="仿宋" w:cs="仿宋"/>
                <w:color w:val="auto"/>
                <w:spacing w:val="0"/>
                <w:sz w:val="24"/>
                <w:szCs w:val="24"/>
                <w:vertAlign w:val="baseline"/>
                <w:lang w:eastAsia="zh-CN"/>
              </w:rPr>
            </w:pPr>
            <w:r>
              <w:rPr>
                <w:rFonts w:hint="eastAsia" w:ascii="仿宋" w:hAnsi="仿宋" w:eastAsia="仿宋" w:cs="仿宋"/>
                <w:color w:val="auto"/>
                <w:spacing w:val="0"/>
                <w:sz w:val="24"/>
                <w:szCs w:val="24"/>
                <w:vertAlign w:val="baseline"/>
                <w:lang w:eastAsia="zh-CN"/>
              </w:rPr>
              <w:t>深化“四史”教育，着力巩固党史学习教育成效，推动党史学习教育常态化长效化。</w:t>
            </w:r>
          </w:p>
        </w:tc>
        <w:tc>
          <w:tcPr>
            <w:tcW w:w="1695" w:type="dxa"/>
            <w:vAlign w:val="center"/>
          </w:tcPr>
          <w:p>
            <w:pPr>
              <w:jc w:val="center"/>
              <w:rPr>
                <w:rFonts w:hint="default"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eastAsia="zh-CN"/>
              </w:rPr>
              <w:t>党政办公室</w:t>
            </w:r>
          </w:p>
        </w:tc>
        <w:tc>
          <w:tcPr>
            <w:tcW w:w="2280" w:type="dxa"/>
            <w:vAlign w:val="center"/>
          </w:tcPr>
          <w:p>
            <w:pPr>
              <w:jc w:val="center"/>
              <w:rPr>
                <w:rFonts w:hint="eastAsia" w:ascii="仿宋" w:hAnsi="仿宋" w:eastAsia="仿宋" w:cs="仿宋"/>
                <w:color w:val="auto"/>
                <w:spacing w:val="0"/>
                <w:sz w:val="24"/>
                <w:szCs w:val="24"/>
                <w:vertAlign w:val="baseline"/>
                <w:lang w:eastAsia="zh-CN"/>
              </w:rPr>
            </w:pPr>
            <w:r>
              <w:rPr>
                <w:rFonts w:hint="eastAsia" w:ascii="仿宋" w:hAnsi="仿宋" w:eastAsia="仿宋" w:cs="仿宋"/>
                <w:color w:val="auto"/>
                <w:spacing w:val="0"/>
                <w:sz w:val="24"/>
                <w:szCs w:val="24"/>
                <w:vertAlign w:val="baseline"/>
                <w:lang w:eastAsia="zh-CN"/>
              </w:rPr>
              <w:t>组织部</w:t>
            </w:r>
          </w:p>
          <w:p>
            <w:pPr>
              <w:jc w:val="center"/>
              <w:rPr>
                <w:rFonts w:hint="eastAsia" w:ascii="仿宋" w:hAnsi="仿宋" w:eastAsia="仿宋" w:cs="仿宋"/>
                <w:color w:val="auto"/>
                <w:spacing w:val="0"/>
                <w:sz w:val="24"/>
                <w:szCs w:val="24"/>
                <w:vertAlign w:val="baseline"/>
                <w:lang w:eastAsia="zh-CN"/>
              </w:rPr>
            </w:pPr>
            <w:r>
              <w:rPr>
                <w:rFonts w:hint="eastAsia" w:ascii="仿宋" w:hAnsi="仿宋" w:eastAsia="仿宋" w:cs="仿宋"/>
                <w:color w:val="auto"/>
                <w:spacing w:val="0"/>
                <w:sz w:val="24"/>
                <w:szCs w:val="24"/>
                <w:vertAlign w:val="baseline"/>
                <w:lang w:eastAsia="zh-CN"/>
              </w:rPr>
              <w:t>宣传统战部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85" w:type="dxa"/>
            <w:vMerge w:val="restart"/>
            <w:vAlign w:val="center"/>
          </w:tcPr>
          <w:p>
            <w:pPr>
              <w:jc w:val="center"/>
              <w:rPr>
                <w:rFonts w:hint="eastAsia" w:ascii="仿宋" w:hAnsi="仿宋" w:eastAsia="仿宋" w:cs="仿宋"/>
                <w:color w:val="auto"/>
                <w:spacing w:val="0"/>
                <w:sz w:val="24"/>
                <w:szCs w:val="24"/>
                <w:vertAlign w:val="baseline"/>
                <w:lang w:eastAsia="zh-CN"/>
              </w:rPr>
            </w:pPr>
            <w:r>
              <w:rPr>
                <w:rFonts w:hint="eastAsia" w:ascii="仿宋" w:hAnsi="仿宋" w:eastAsia="仿宋" w:cs="仿宋"/>
                <w:color w:val="auto"/>
                <w:spacing w:val="0"/>
                <w:sz w:val="24"/>
                <w:szCs w:val="24"/>
                <w:vertAlign w:val="baseline"/>
                <w:lang w:eastAsia="zh-CN"/>
              </w:rPr>
              <w:t>（二）全面加强基层党组织建设</w:t>
            </w:r>
          </w:p>
        </w:tc>
        <w:tc>
          <w:tcPr>
            <w:tcW w:w="645" w:type="dxa"/>
            <w:vAlign w:val="center"/>
          </w:tcPr>
          <w:p>
            <w:pPr>
              <w:jc w:val="center"/>
              <w:rPr>
                <w:rFonts w:hint="default"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6</w:t>
            </w:r>
          </w:p>
        </w:tc>
        <w:tc>
          <w:tcPr>
            <w:tcW w:w="8963" w:type="dxa"/>
            <w:vAlign w:val="center"/>
          </w:tcPr>
          <w:p>
            <w:pPr>
              <w:jc w:val="both"/>
              <w:rPr>
                <w:rFonts w:hint="eastAsia" w:ascii="仿宋" w:hAnsi="仿宋" w:eastAsia="仿宋" w:cs="仿宋"/>
                <w:color w:val="auto"/>
                <w:spacing w:val="0"/>
                <w:sz w:val="24"/>
                <w:szCs w:val="24"/>
                <w:vertAlign w:val="baseline"/>
                <w:lang w:eastAsia="zh-CN"/>
              </w:rPr>
            </w:pPr>
            <w:r>
              <w:rPr>
                <w:rFonts w:hint="eastAsia" w:ascii="仿宋" w:hAnsi="仿宋" w:eastAsia="仿宋" w:cs="仿宋"/>
                <w:color w:val="auto"/>
                <w:spacing w:val="0"/>
                <w:sz w:val="24"/>
                <w:szCs w:val="24"/>
                <w:vertAlign w:val="baseline"/>
                <w:lang w:eastAsia="zh-CN"/>
              </w:rPr>
              <w:t>进一步贯彻落实《中国共产党普通高等学校基层组织工作条例》，进一步加强党委领导班子和各基层党组织建设，提升基层党组织政治功能，强化党建工作责任落实，纵深推进党建示范创建和质量创优，培育具有旅商特色的党建工作品牌。</w:t>
            </w:r>
          </w:p>
        </w:tc>
        <w:tc>
          <w:tcPr>
            <w:tcW w:w="1695" w:type="dxa"/>
            <w:vAlign w:val="center"/>
          </w:tcPr>
          <w:p>
            <w:pPr>
              <w:jc w:val="center"/>
              <w:rPr>
                <w:rFonts w:hint="eastAsia" w:ascii="仿宋" w:hAnsi="仿宋" w:eastAsia="仿宋" w:cs="仿宋"/>
                <w:color w:val="auto"/>
                <w:spacing w:val="0"/>
                <w:sz w:val="24"/>
                <w:szCs w:val="24"/>
                <w:vertAlign w:val="baseline"/>
                <w:lang w:eastAsia="zh-CN"/>
              </w:rPr>
            </w:pPr>
            <w:r>
              <w:rPr>
                <w:rFonts w:hint="eastAsia" w:ascii="仿宋" w:hAnsi="仿宋" w:eastAsia="仿宋" w:cs="仿宋"/>
                <w:color w:val="auto"/>
                <w:spacing w:val="0"/>
                <w:sz w:val="24"/>
                <w:szCs w:val="24"/>
                <w:vertAlign w:val="baseline"/>
                <w:lang w:eastAsia="zh-CN"/>
              </w:rPr>
              <w:t>组织部</w:t>
            </w:r>
          </w:p>
        </w:tc>
        <w:tc>
          <w:tcPr>
            <w:tcW w:w="2280" w:type="dxa"/>
            <w:vAlign w:val="center"/>
          </w:tcPr>
          <w:p>
            <w:pPr>
              <w:jc w:val="center"/>
              <w:rPr>
                <w:rFonts w:hint="eastAsia" w:ascii="仿宋" w:hAnsi="仿宋" w:eastAsia="仿宋" w:cs="仿宋"/>
                <w:color w:val="auto"/>
                <w:spacing w:val="0"/>
                <w:sz w:val="24"/>
                <w:szCs w:val="24"/>
                <w:vertAlign w:val="baseline"/>
                <w:lang w:eastAsia="zh-CN"/>
              </w:rPr>
            </w:pPr>
            <w:r>
              <w:rPr>
                <w:rFonts w:hint="eastAsia" w:ascii="仿宋" w:hAnsi="仿宋" w:eastAsia="仿宋" w:cs="仿宋"/>
                <w:color w:val="auto"/>
                <w:spacing w:val="0"/>
                <w:sz w:val="24"/>
                <w:szCs w:val="24"/>
                <w:vertAlign w:val="baseline"/>
                <w:lang w:eastAsia="zh-CN"/>
              </w:rPr>
              <w:t>各基层党组织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85" w:type="dxa"/>
            <w:vMerge w:val="continue"/>
            <w:vAlign w:val="center"/>
          </w:tcPr>
          <w:p>
            <w:pPr>
              <w:jc w:val="center"/>
              <w:rPr>
                <w:rFonts w:hint="eastAsia" w:ascii="仿宋" w:hAnsi="仿宋" w:eastAsia="仿宋" w:cs="仿宋"/>
                <w:color w:val="auto"/>
                <w:spacing w:val="0"/>
                <w:sz w:val="24"/>
                <w:szCs w:val="24"/>
                <w:vertAlign w:val="baseline"/>
                <w:lang w:eastAsia="zh-CN"/>
              </w:rPr>
            </w:pPr>
          </w:p>
        </w:tc>
        <w:tc>
          <w:tcPr>
            <w:tcW w:w="645" w:type="dxa"/>
            <w:vAlign w:val="center"/>
          </w:tcPr>
          <w:p>
            <w:pPr>
              <w:jc w:val="center"/>
              <w:rPr>
                <w:rFonts w:hint="default"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7</w:t>
            </w:r>
          </w:p>
        </w:tc>
        <w:tc>
          <w:tcPr>
            <w:tcW w:w="8963" w:type="dxa"/>
            <w:vAlign w:val="center"/>
          </w:tcPr>
          <w:p>
            <w:pPr>
              <w:jc w:val="both"/>
              <w:rPr>
                <w:rFonts w:hint="eastAsia" w:ascii="仿宋" w:hAnsi="仿宋" w:eastAsia="仿宋" w:cs="仿宋"/>
                <w:color w:val="auto"/>
                <w:spacing w:val="0"/>
                <w:sz w:val="24"/>
                <w:szCs w:val="24"/>
                <w:vertAlign w:val="baseline"/>
                <w:lang w:eastAsia="zh-CN"/>
              </w:rPr>
            </w:pPr>
            <w:r>
              <w:rPr>
                <w:rFonts w:hint="eastAsia" w:ascii="仿宋" w:hAnsi="仿宋" w:eastAsia="仿宋" w:cs="仿宋"/>
                <w:color w:val="auto"/>
                <w:spacing w:val="0"/>
                <w:sz w:val="24"/>
                <w:szCs w:val="24"/>
                <w:vertAlign w:val="baseline"/>
                <w:lang w:eastAsia="zh-CN"/>
              </w:rPr>
              <w:t>优化调整基层党组织设置，深入贯彻落实《中国共产党支部工作条例（试行）》，按照“三化六好”标准，强化支部建设，提高离退休干部党建工作标准化规范化水平。</w:t>
            </w:r>
          </w:p>
        </w:tc>
        <w:tc>
          <w:tcPr>
            <w:tcW w:w="1695" w:type="dxa"/>
            <w:vAlign w:val="center"/>
          </w:tcPr>
          <w:p>
            <w:pPr>
              <w:jc w:val="center"/>
              <w:rPr>
                <w:rFonts w:hint="eastAsia" w:ascii="仿宋" w:hAnsi="仿宋" w:eastAsia="仿宋" w:cs="仿宋"/>
                <w:color w:val="auto"/>
                <w:spacing w:val="0"/>
                <w:sz w:val="24"/>
                <w:szCs w:val="24"/>
                <w:vertAlign w:val="baseline"/>
                <w:lang w:eastAsia="zh-CN"/>
              </w:rPr>
            </w:pPr>
            <w:r>
              <w:rPr>
                <w:rFonts w:hint="eastAsia" w:ascii="仿宋" w:hAnsi="仿宋" w:eastAsia="仿宋" w:cs="仿宋"/>
                <w:color w:val="auto"/>
                <w:spacing w:val="0"/>
                <w:sz w:val="24"/>
                <w:szCs w:val="24"/>
                <w:vertAlign w:val="baseline"/>
                <w:lang w:eastAsia="zh-CN"/>
              </w:rPr>
              <w:t>组织部</w:t>
            </w:r>
          </w:p>
        </w:tc>
        <w:tc>
          <w:tcPr>
            <w:tcW w:w="2280" w:type="dxa"/>
            <w:vAlign w:val="center"/>
          </w:tcPr>
          <w:p>
            <w:pPr>
              <w:jc w:val="center"/>
              <w:rPr>
                <w:rFonts w:hint="eastAsia" w:ascii="仿宋" w:hAnsi="仿宋" w:eastAsia="仿宋" w:cs="仿宋"/>
                <w:color w:val="auto"/>
                <w:spacing w:val="0"/>
                <w:sz w:val="24"/>
                <w:szCs w:val="24"/>
                <w:vertAlign w:val="baseline"/>
                <w:lang w:eastAsia="zh-CN"/>
              </w:rPr>
            </w:pPr>
            <w:r>
              <w:rPr>
                <w:rFonts w:hint="eastAsia" w:ascii="仿宋" w:hAnsi="仿宋" w:eastAsia="仿宋" w:cs="仿宋"/>
                <w:color w:val="auto"/>
                <w:spacing w:val="0"/>
                <w:sz w:val="24"/>
                <w:szCs w:val="24"/>
                <w:vertAlign w:val="baseline"/>
                <w:lang w:eastAsia="zh-CN"/>
              </w:rPr>
              <w:t>各基层党组织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85" w:type="dxa"/>
            <w:vMerge w:val="continue"/>
            <w:vAlign w:val="center"/>
          </w:tcPr>
          <w:p>
            <w:pPr>
              <w:jc w:val="center"/>
              <w:rPr>
                <w:rFonts w:hint="eastAsia" w:ascii="仿宋" w:hAnsi="仿宋" w:eastAsia="仿宋" w:cs="仿宋"/>
                <w:color w:val="auto"/>
                <w:spacing w:val="0"/>
                <w:sz w:val="24"/>
                <w:szCs w:val="24"/>
                <w:vertAlign w:val="baseline"/>
                <w:lang w:eastAsia="zh-CN"/>
              </w:rPr>
            </w:pPr>
          </w:p>
        </w:tc>
        <w:tc>
          <w:tcPr>
            <w:tcW w:w="645" w:type="dxa"/>
            <w:vAlign w:val="center"/>
          </w:tcPr>
          <w:p>
            <w:pPr>
              <w:jc w:val="center"/>
              <w:rPr>
                <w:rFonts w:hint="default"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8</w:t>
            </w:r>
          </w:p>
        </w:tc>
        <w:tc>
          <w:tcPr>
            <w:tcW w:w="8963" w:type="dxa"/>
            <w:vAlign w:val="center"/>
          </w:tcPr>
          <w:p>
            <w:pPr>
              <w:jc w:val="both"/>
              <w:rPr>
                <w:rFonts w:hint="eastAsia" w:ascii="仿宋" w:hAnsi="仿宋" w:eastAsia="仿宋" w:cs="仿宋"/>
                <w:color w:val="auto"/>
                <w:spacing w:val="0"/>
                <w:sz w:val="24"/>
                <w:szCs w:val="24"/>
                <w:vertAlign w:val="baseline"/>
                <w:lang w:eastAsia="zh-CN"/>
              </w:rPr>
            </w:pPr>
            <w:r>
              <w:rPr>
                <w:rFonts w:hint="eastAsia" w:ascii="仿宋" w:hAnsi="仿宋" w:eastAsia="仿宋" w:cs="仿宋"/>
                <w:color w:val="auto"/>
                <w:spacing w:val="0"/>
                <w:sz w:val="24"/>
                <w:szCs w:val="24"/>
                <w:vertAlign w:val="baseline"/>
                <w:lang w:val="en-US" w:eastAsia="zh-CN"/>
              </w:rPr>
              <w:t>严格党员培养发展和教育管理，突出政治标准，提高党员发展质量。</w:t>
            </w:r>
          </w:p>
        </w:tc>
        <w:tc>
          <w:tcPr>
            <w:tcW w:w="1695" w:type="dxa"/>
            <w:vAlign w:val="center"/>
          </w:tcPr>
          <w:p>
            <w:pPr>
              <w:jc w:val="center"/>
              <w:rPr>
                <w:rFonts w:hint="eastAsia" w:ascii="仿宋" w:hAnsi="仿宋" w:eastAsia="仿宋" w:cs="仿宋"/>
                <w:color w:val="auto"/>
                <w:spacing w:val="0"/>
                <w:sz w:val="24"/>
                <w:szCs w:val="24"/>
                <w:vertAlign w:val="baseline"/>
                <w:lang w:eastAsia="zh-CN"/>
              </w:rPr>
            </w:pPr>
            <w:r>
              <w:rPr>
                <w:rFonts w:hint="eastAsia" w:ascii="仿宋" w:hAnsi="仿宋" w:eastAsia="仿宋" w:cs="仿宋"/>
                <w:color w:val="auto"/>
                <w:spacing w:val="0"/>
                <w:sz w:val="24"/>
                <w:szCs w:val="24"/>
                <w:vertAlign w:val="baseline"/>
                <w:lang w:eastAsia="zh-CN"/>
              </w:rPr>
              <w:t>组织部</w:t>
            </w:r>
          </w:p>
        </w:tc>
        <w:tc>
          <w:tcPr>
            <w:tcW w:w="2280" w:type="dxa"/>
            <w:vAlign w:val="center"/>
          </w:tcPr>
          <w:p>
            <w:pPr>
              <w:jc w:val="center"/>
              <w:rPr>
                <w:rFonts w:hint="eastAsia" w:ascii="仿宋" w:hAnsi="仿宋" w:eastAsia="仿宋" w:cs="仿宋"/>
                <w:color w:val="auto"/>
                <w:spacing w:val="0"/>
                <w:sz w:val="24"/>
                <w:szCs w:val="24"/>
                <w:vertAlign w:val="baseline"/>
                <w:lang w:eastAsia="zh-CN"/>
              </w:rPr>
            </w:pPr>
            <w:r>
              <w:rPr>
                <w:rFonts w:hint="eastAsia" w:ascii="仿宋" w:hAnsi="仿宋" w:eastAsia="仿宋" w:cs="仿宋"/>
                <w:color w:val="auto"/>
                <w:spacing w:val="0"/>
                <w:sz w:val="24"/>
                <w:szCs w:val="24"/>
                <w:vertAlign w:val="baseline"/>
                <w:lang w:eastAsia="zh-CN"/>
              </w:rPr>
              <w:t>各基层党组织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85" w:type="dxa"/>
            <w:vMerge w:val="continue"/>
            <w:vAlign w:val="center"/>
          </w:tcPr>
          <w:p>
            <w:pPr>
              <w:jc w:val="center"/>
              <w:rPr>
                <w:rFonts w:hint="eastAsia" w:ascii="仿宋" w:hAnsi="仿宋" w:eastAsia="仿宋" w:cs="仿宋"/>
                <w:color w:val="auto"/>
                <w:spacing w:val="0"/>
                <w:sz w:val="24"/>
                <w:szCs w:val="24"/>
                <w:vertAlign w:val="baseline"/>
                <w:lang w:eastAsia="zh-CN"/>
              </w:rPr>
            </w:pPr>
          </w:p>
        </w:tc>
        <w:tc>
          <w:tcPr>
            <w:tcW w:w="645" w:type="dxa"/>
            <w:vAlign w:val="center"/>
          </w:tcPr>
          <w:p>
            <w:pPr>
              <w:jc w:val="center"/>
              <w:rPr>
                <w:rFonts w:hint="default"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9</w:t>
            </w:r>
          </w:p>
        </w:tc>
        <w:tc>
          <w:tcPr>
            <w:tcW w:w="8963" w:type="dxa"/>
            <w:vAlign w:val="center"/>
          </w:tcPr>
          <w:p>
            <w:pPr>
              <w:jc w:val="both"/>
              <w:rPr>
                <w:rFonts w:hint="eastAsia"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提高党内政治生活质量，引导广大党员立足岗位建功立业、示范争先。</w:t>
            </w:r>
          </w:p>
        </w:tc>
        <w:tc>
          <w:tcPr>
            <w:tcW w:w="1695" w:type="dxa"/>
            <w:vAlign w:val="center"/>
          </w:tcPr>
          <w:p>
            <w:pPr>
              <w:jc w:val="center"/>
              <w:rPr>
                <w:rFonts w:hint="eastAsia" w:ascii="仿宋" w:hAnsi="仿宋" w:eastAsia="仿宋" w:cs="仿宋"/>
                <w:color w:val="auto"/>
                <w:spacing w:val="0"/>
                <w:sz w:val="24"/>
                <w:szCs w:val="24"/>
                <w:vertAlign w:val="baseline"/>
                <w:lang w:eastAsia="zh-CN"/>
              </w:rPr>
            </w:pPr>
            <w:r>
              <w:rPr>
                <w:rFonts w:hint="eastAsia" w:ascii="仿宋" w:hAnsi="仿宋" w:eastAsia="仿宋" w:cs="仿宋"/>
                <w:color w:val="auto"/>
                <w:spacing w:val="0"/>
                <w:sz w:val="24"/>
                <w:szCs w:val="24"/>
                <w:vertAlign w:val="baseline"/>
                <w:lang w:eastAsia="zh-CN"/>
              </w:rPr>
              <w:t>组织部</w:t>
            </w:r>
          </w:p>
        </w:tc>
        <w:tc>
          <w:tcPr>
            <w:tcW w:w="2280" w:type="dxa"/>
            <w:vAlign w:val="center"/>
          </w:tcPr>
          <w:p>
            <w:pPr>
              <w:jc w:val="center"/>
              <w:rPr>
                <w:rFonts w:hint="eastAsia" w:ascii="仿宋" w:hAnsi="仿宋" w:eastAsia="仿宋" w:cs="仿宋"/>
                <w:color w:val="auto"/>
                <w:spacing w:val="0"/>
                <w:sz w:val="24"/>
                <w:szCs w:val="24"/>
                <w:vertAlign w:val="baseline"/>
                <w:lang w:eastAsia="zh-CN"/>
              </w:rPr>
            </w:pPr>
            <w:r>
              <w:rPr>
                <w:rFonts w:hint="eastAsia" w:ascii="仿宋" w:hAnsi="仿宋" w:eastAsia="仿宋" w:cs="仿宋"/>
                <w:color w:val="auto"/>
                <w:spacing w:val="0"/>
                <w:sz w:val="24"/>
                <w:szCs w:val="24"/>
                <w:vertAlign w:val="baseline"/>
                <w:lang w:eastAsia="zh-CN"/>
              </w:rPr>
              <w:t>各基层党组织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85" w:type="dxa"/>
            <w:vMerge w:val="restart"/>
            <w:vAlign w:val="center"/>
          </w:tcPr>
          <w:p>
            <w:pPr>
              <w:jc w:val="center"/>
              <w:rPr>
                <w:rFonts w:hint="eastAsia" w:ascii="仿宋" w:hAnsi="仿宋" w:eastAsia="仿宋" w:cs="仿宋"/>
                <w:color w:val="auto"/>
                <w:spacing w:val="0"/>
                <w:sz w:val="24"/>
                <w:szCs w:val="24"/>
                <w:vertAlign w:val="baseline"/>
                <w:lang w:eastAsia="zh-CN"/>
              </w:rPr>
            </w:pPr>
            <w:r>
              <w:rPr>
                <w:rFonts w:hint="eastAsia" w:ascii="仿宋" w:hAnsi="仿宋" w:eastAsia="仿宋" w:cs="仿宋"/>
                <w:color w:val="auto"/>
                <w:spacing w:val="0"/>
                <w:sz w:val="24"/>
                <w:szCs w:val="24"/>
                <w:vertAlign w:val="baseline"/>
                <w:lang w:eastAsia="zh-CN"/>
              </w:rPr>
              <w:t>（三）着力加强干部队伍建设</w:t>
            </w:r>
          </w:p>
        </w:tc>
        <w:tc>
          <w:tcPr>
            <w:tcW w:w="645" w:type="dxa"/>
            <w:vAlign w:val="center"/>
          </w:tcPr>
          <w:p>
            <w:pPr>
              <w:jc w:val="center"/>
              <w:rPr>
                <w:rFonts w:hint="default"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10</w:t>
            </w:r>
          </w:p>
        </w:tc>
        <w:tc>
          <w:tcPr>
            <w:tcW w:w="8963" w:type="dxa"/>
            <w:vAlign w:val="center"/>
          </w:tcPr>
          <w:p>
            <w:pPr>
              <w:jc w:val="both"/>
              <w:rPr>
                <w:rFonts w:hint="eastAsia"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坚持新时代好干部标准，把政治标准放首位，注重以实绩标准选人用人，不断优化干部成长路径，完善考核评价机制，落实干部监督管理制度，加强日常监管，激励担当作为。</w:t>
            </w:r>
          </w:p>
        </w:tc>
        <w:tc>
          <w:tcPr>
            <w:tcW w:w="1695" w:type="dxa"/>
            <w:vAlign w:val="center"/>
          </w:tcPr>
          <w:p>
            <w:pPr>
              <w:jc w:val="center"/>
              <w:rPr>
                <w:rFonts w:hint="default"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组织部</w:t>
            </w:r>
          </w:p>
        </w:tc>
        <w:tc>
          <w:tcPr>
            <w:tcW w:w="2280" w:type="dxa"/>
            <w:vAlign w:val="center"/>
          </w:tcPr>
          <w:p>
            <w:pPr>
              <w:jc w:val="center"/>
              <w:rPr>
                <w:rFonts w:hint="eastAsia"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人事处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1185" w:type="dxa"/>
            <w:vMerge w:val="continue"/>
            <w:vAlign w:val="center"/>
          </w:tcPr>
          <w:p>
            <w:pPr>
              <w:jc w:val="center"/>
              <w:rPr>
                <w:rFonts w:hint="eastAsia" w:ascii="仿宋" w:hAnsi="仿宋" w:eastAsia="仿宋" w:cs="仿宋"/>
                <w:color w:val="auto"/>
                <w:spacing w:val="0"/>
                <w:sz w:val="24"/>
                <w:szCs w:val="24"/>
                <w:vertAlign w:val="baseline"/>
                <w:lang w:eastAsia="zh-CN"/>
              </w:rPr>
            </w:pPr>
          </w:p>
        </w:tc>
        <w:tc>
          <w:tcPr>
            <w:tcW w:w="645" w:type="dxa"/>
            <w:vAlign w:val="center"/>
          </w:tcPr>
          <w:p>
            <w:pPr>
              <w:jc w:val="center"/>
              <w:rPr>
                <w:rFonts w:hint="default"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11</w:t>
            </w:r>
          </w:p>
        </w:tc>
        <w:tc>
          <w:tcPr>
            <w:tcW w:w="8963" w:type="dxa"/>
            <w:vAlign w:val="center"/>
          </w:tcPr>
          <w:p>
            <w:pPr>
              <w:jc w:val="both"/>
              <w:rPr>
                <w:rFonts w:hint="eastAsia"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抓好对口帮扶，积极发挥派驻乡村振兴工作队作用，助力西向村产业振兴；继续选派优秀教师参加援疆、挂职锻炼及其他工作。</w:t>
            </w:r>
          </w:p>
        </w:tc>
        <w:tc>
          <w:tcPr>
            <w:tcW w:w="1695" w:type="dxa"/>
            <w:vAlign w:val="center"/>
          </w:tcPr>
          <w:p>
            <w:pPr>
              <w:jc w:val="center"/>
              <w:rPr>
                <w:rFonts w:hint="default"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组织部</w:t>
            </w:r>
          </w:p>
        </w:tc>
        <w:tc>
          <w:tcPr>
            <w:tcW w:w="2280" w:type="dxa"/>
            <w:vAlign w:val="center"/>
          </w:tcPr>
          <w:p>
            <w:pPr>
              <w:jc w:val="center"/>
              <w:rPr>
                <w:rFonts w:hint="eastAsia"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各二级学院</w:t>
            </w:r>
          </w:p>
          <w:p>
            <w:pPr>
              <w:jc w:val="center"/>
              <w:rPr>
                <w:rFonts w:hint="eastAsia"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各部门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85" w:type="dxa"/>
            <w:vMerge w:val="restart"/>
            <w:vAlign w:val="center"/>
          </w:tcPr>
          <w:p>
            <w:pPr>
              <w:jc w:val="center"/>
              <w:rPr>
                <w:rFonts w:hint="eastAsia" w:ascii="仿宋" w:hAnsi="仿宋" w:eastAsia="仿宋" w:cs="仿宋"/>
                <w:color w:val="auto"/>
                <w:spacing w:val="0"/>
                <w:sz w:val="24"/>
                <w:szCs w:val="24"/>
                <w:vertAlign w:val="baseline"/>
                <w:lang w:eastAsia="zh-CN"/>
              </w:rPr>
            </w:pPr>
            <w:r>
              <w:rPr>
                <w:rFonts w:hint="eastAsia" w:ascii="仿宋" w:hAnsi="仿宋" w:eastAsia="仿宋" w:cs="仿宋"/>
                <w:color w:val="auto"/>
                <w:spacing w:val="0"/>
                <w:sz w:val="24"/>
                <w:szCs w:val="24"/>
                <w:vertAlign w:val="baseline"/>
                <w:lang w:val="en-US" w:eastAsia="zh-CN"/>
              </w:rPr>
              <w:t>（四）营造良好舆论宣传环境</w:t>
            </w:r>
          </w:p>
        </w:tc>
        <w:tc>
          <w:tcPr>
            <w:tcW w:w="645" w:type="dxa"/>
            <w:vAlign w:val="center"/>
          </w:tcPr>
          <w:p>
            <w:pPr>
              <w:jc w:val="center"/>
              <w:rPr>
                <w:rFonts w:hint="default"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12</w:t>
            </w:r>
          </w:p>
        </w:tc>
        <w:tc>
          <w:tcPr>
            <w:tcW w:w="8963" w:type="dxa"/>
            <w:vAlign w:val="center"/>
          </w:tcPr>
          <w:p>
            <w:pPr>
              <w:jc w:val="both"/>
              <w:rPr>
                <w:rFonts w:hint="eastAsia"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eastAsia="zh-CN"/>
              </w:rPr>
              <w:t>持续深入学习贯彻习近平新时代中国特色社会主义思想和党的十九届六中全会、党的二十大、江西省第十五次党代会精神。</w:t>
            </w:r>
          </w:p>
        </w:tc>
        <w:tc>
          <w:tcPr>
            <w:tcW w:w="1695" w:type="dxa"/>
            <w:vAlign w:val="center"/>
          </w:tcPr>
          <w:p>
            <w:pPr>
              <w:jc w:val="center"/>
              <w:rPr>
                <w:rFonts w:hint="eastAsia"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宣传统战部</w:t>
            </w:r>
          </w:p>
        </w:tc>
        <w:tc>
          <w:tcPr>
            <w:tcW w:w="2280" w:type="dxa"/>
            <w:vAlign w:val="center"/>
          </w:tcPr>
          <w:p>
            <w:pPr>
              <w:jc w:val="center"/>
              <w:rPr>
                <w:rFonts w:hint="eastAsia"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各基层党组织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85" w:type="dxa"/>
            <w:vMerge w:val="continue"/>
            <w:vAlign w:val="center"/>
          </w:tcPr>
          <w:p>
            <w:pPr>
              <w:jc w:val="center"/>
              <w:rPr>
                <w:rFonts w:hint="eastAsia" w:ascii="仿宋" w:hAnsi="仿宋" w:eastAsia="仿宋" w:cs="仿宋"/>
                <w:color w:val="auto"/>
                <w:spacing w:val="0"/>
                <w:sz w:val="24"/>
                <w:szCs w:val="24"/>
                <w:vertAlign w:val="baseline"/>
                <w:lang w:eastAsia="zh-CN"/>
              </w:rPr>
            </w:pPr>
          </w:p>
        </w:tc>
        <w:tc>
          <w:tcPr>
            <w:tcW w:w="645" w:type="dxa"/>
            <w:vAlign w:val="center"/>
          </w:tcPr>
          <w:p>
            <w:pPr>
              <w:jc w:val="center"/>
              <w:rPr>
                <w:rFonts w:hint="default"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13</w:t>
            </w:r>
          </w:p>
        </w:tc>
        <w:tc>
          <w:tcPr>
            <w:tcW w:w="8963" w:type="dxa"/>
            <w:vAlign w:val="center"/>
          </w:tcPr>
          <w:p>
            <w:pPr>
              <w:jc w:val="both"/>
              <w:rPr>
                <w:rFonts w:hint="eastAsia"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加强学校宣传平台管理，提升</w:t>
            </w:r>
            <w:r>
              <w:rPr>
                <w:rFonts w:hint="eastAsia" w:ascii="仿宋" w:hAnsi="仿宋" w:eastAsia="仿宋" w:cs="仿宋"/>
                <w:color w:val="auto"/>
                <w:spacing w:val="0"/>
                <w:sz w:val="24"/>
                <w:szCs w:val="24"/>
                <w:vertAlign w:val="baseline"/>
                <w:lang w:eastAsia="zh-CN"/>
              </w:rPr>
              <w:t>新闻报道的质量和时效，创新宣传形式、内容和手段，统筹“线上线下”“校内校外”，</w:t>
            </w:r>
            <w:r>
              <w:rPr>
                <w:rFonts w:hint="eastAsia" w:ascii="仿宋" w:hAnsi="仿宋" w:eastAsia="仿宋" w:cs="仿宋"/>
                <w:color w:val="auto"/>
                <w:spacing w:val="0"/>
                <w:sz w:val="24"/>
                <w:szCs w:val="24"/>
                <w:vertAlign w:val="baseline"/>
                <w:lang w:val="en-US" w:eastAsia="zh-CN"/>
              </w:rPr>
              <w:t>整合</w:t>
            </w:r>
            <w:r>
              <w:rPr>
                <w:rFonts w:hint="eastAsia" w:ascii="仿宋" w:hAnsi="仿宋" w:eastAsia="仿宋" w:cs="仿宋"/>
                <w:color w:val="auto"/>
                <w:spacing w:val="0"/>
                <w:sz w:val="24"/>
                <w:szCs w:val="24"/>
                <w:vertAlign w:val="baseline"/>
                <w:lang w:eastAsia="zh-CN"/>
              </w:rPr>
              <w:t>外媒资源，加大国家级媒体的宣传力度，形成外宣合力，唱响“主旋律”，讲好旅商故事，围绕学校第三次党代会提出的目标、要求和任务，为持续推进“七项工程”，营造良好的舆论环境。</w:t>
            </w:r>
          </w:p>
        </w:tc>
        <w:tc>
          <w:tcPr>
            <w:tcW w:w="1695" w:type="dxa"/>
            <w:vAlign w:val="center"/>
          </w:tcPr>
          <w:p>
            <w:pPr>
              <w:jc w:val="center"/>
              <w:rPr>
                <w:rFonts w:hint="eastAsia" w:ascii="仿宋" w:hAnsi="仿宋" w:eastAsia="仿宋" w:cs="仿宋"/>
                <w:color w:val="auto"/>
                <w:spacing w:val="0"/>
                <w:sz w:val="24"/>
                <w:szCs w:val="24"/>
                <w:vertAlign w:val="baseline"/>
                <w:lang w:eastAsia="zh-CN"/>
              </w:rPr>
            </w:pPr>
            <w:r>
              <w:rPr>
                <w:rFonts w:hint="eastAsia" w:ascii="仿宋" w:hAnsi="仿宋" w:eastAsia="仿宋" w:cs="仿宋"/>
                <w:color w:val="auto"/>
                <w:spacing w:val="0"/>
                <w:sz w:val="24"/>
                <w:szCs w:val="24"/>
                <w:vertAlign w:val="baseline"/>
                <w:lang w:val="en-US" w:eastAsia="zh-CN"/>
              </w:rPr>
              <w:t>宣传统战部</w:t>
            </w:r>
          </w:p>
        </w:tc>
        <w:tc>
          <w:tcPr>
            <w:tcW w:w="2280" w:type="dxa"/>
            <w:vAlign w:val="center"/>
          </w:tcPr>
          <w:p>
            <w:pPr>
              <w:jc w:val="center"/>
              <w:rPr>
                <w:rFonts w:hint="eastAsia"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各二级学院</w:t>
            </w:r>
          </w:p>
          <w:p>
            <w:pPr>
              <w:jc w:val="center"/>
              <w:rPr>
                <w:rFonts w:hint="eastAsia"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各部门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85" w:type="dxa"/>
            <w:vMerge w:val="continue"/>
            <w:vAlign w:val="center"/>
          </w:tcPr>
          <w:p>
            <w:pPr>
              <w:jc w:val="center"/>
              <w:rPr>
                <w:rFonts w:hint="eastAsia" w:ascii="仿宋" w:hAnsi="仿宋" w:eastAsia="仿宋" w:cs="仿宋"/>
                <w:color w:val="auto"/>
                <w:spacing w:val="0"/>
                <w:sz w:val="24"/>
                <w:szCs w:val="24"/>
                <w:vertAlign w:val="baseline"/>
                <w:lang w:eastAsia="zh-CN"/>
              </w:rPr>
            </w:pPr>
          </w:p>
        </w:tc>
        <w:tc>
          <w:tcPr>
            <w:tcW w:w="645" w:type="dxa"/>
            <w:vAlign w:val="center"/>
          </w:tcPr>
          <w:p>
            <w:pPr>
              <w:jc w:val="center"/>
              <w:rPr>
                <w:rFonts w:hint="default"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14</w:t>
            </w:r>
          </w:p>
        </w:tc>
        <w:tc>
          <w:tcPr>
            <w:tcW w:w="8963" w:type="dxa"/>
            <w:vAlign w:val="center"/>
          </w:tcPr>
          <w:p>
            <w:pPr>
              <w:jc w:val="both"/>
              <w:rPr>
                <w:rFonts w:hint="eastAsia"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eastAsia="zh-CN"/>
              </w:rPr>
              <w:t>进一步完善意识形态和思政工作制度，落实意识形态工作主</w:t>
            </w:r>
            <w:r>
              <w:rPr>
                <w:rFonts w:hint="eastAsia" w:ascii="仿宋" w:hAnsi="仿宋" w:eastAsia="仿宋" w:cs="仿宋"/>
                <w:color w:val="auto"/>
                <w:spacing w:val="0"/>
                <w:sz w:val="24"/>
                <w:szCs w:val="24"/>
                <w:vertAlign w:val="baseline"/>
                <w:lang w:val="en-US" w:eastAsia="zh-CN"/>
              </w:rPr>
              <w:t>体</w:t>
            </w:r>
            <w:r>
              <w:rPr>
                <w:rFonts w:hint="eastAsia" w:ascii="仿宋" w:hAnsi="仿宋" w:eastAsia="仿宋" w:cs="仿宋"/>
                <w:color w:val="auto"/>
                <w:spacing w:val="0"/>
                <w:sz w:val="24"/>
                <w:szCs w:val="24"/>
                <w:vertAlign w:val="baseline"/>
                <w:lang w:eastAsia="zh-CN"/>
              </w:rPr>
              <w:t>责任，筑牢“三微一端”等宣传阵地，夯实意识形态工作基础，优化舆情监测、研判、报告、处置等流程机制，</w:t>
            </w:r>
            <w:r>
              <w:rPr>
                <w:rFonts w:hint="eastAsia" w:ascii="仿宋" w:hAnsi="仿宋" w:eastAsia="仿宋" w:cs="仿宋"/>
                <w:color w:val="auto"/>
                <w:spacing w:val="0"/>
                <w:sz w:val="24"/>
                <w:szCs w:val="24"/>
                <w:vertAlign w:val="baseline"/>
                <w:lang w:val="en-US" w:eastAsia="zh-CN"/>
              </w:rPr>
              <w:t>高质量完成</w:t>
            </w:r>
            <w:r>
              <w:rPr>
                <w:rFonts w:hint="eastAsia" w:ascii="仿宋" w:hAnsi="仿宋" w:eastAsia="仿宋" w:cs="仿宋"/>
                <w:color w:val="auto"/>
                <w:spacing w:val="0"/>
                <w:sz w:val="24"/>
                <w:szCs w:val="24"/>
                <w:vertAlign w:val="baseline"/>
                <w:lang w:eastAsia="zh-CN"/>
              </w:rPr>
              <w:t>年度意识形态和思政评估等工作。</w:t>
            </w:r>
          </w:p>
        </w:tc>
        <w:tc>
          <w:tcPr>
            <w:tcW w:w="1695" w:type="dxa"/>
            <w:vAlign w:val="center"/>
          </w:tcPr>
          <w:p>
            <w:pPr>
              <w:jc w:val="center"/>
              <w:rPr>
                <w:rFonts w:hint="eastAsia" w:ascii="仿宋" w:hAnsi="仿宋" w:eastAsia="仿宋" w:cs="仿宋"/>
                <w:color w:val="auto"/>
                <w:spacing w:val="0"/>
                <w:sz w:val="24"/>
                <w:szCs w:val="24"/>
                <w:vertAlign w:val="baseline"/>
                <w:lang w:eastAsia="zh-CN"/>
              </w:rPr>
            </w:pPr>
            <w:r>
              <w:rPr>
                <w:rFonts w:hint="eastAsia" w:ascii="仿宋" w:hAnsi="仿宋" w:eastAsia="仿宋" w:cs="仿宋"/>
                <w:color w:val="auto"/>
                <w:spacing w:val="0"/>
                <w:sz w:val="24"/>
                <w:szCs w:val="24"/>
                <w:vertAlign w:val="baseline"/>
                <w:lang w:val="en-US" w:eastAsia="zh-CN"/>
              </w:rPr>
              <w:t>宣传统战部</w:t>
            </w:r>
          </w:p>
        </w:tc>
        <w:tc>
          <w:tcPr>
            <w:tcW w:w="2280" w:type="dxa"/>
            <w:vAlign w:val="center"/>
          </w:tcPr>
          <w:p>
            <w:pPr>
              <w:jc w:val="center"/>
              <w:rPr>
                <w:rFonts w:hint="eastAsia"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各二级学院</w:t>
            </w:r>
          </w:p>
          <w:p>
            <w:pPr>
              <w:jc w:val="center"/>
              <w:rPr>
                <w:rFonts w:hint="eastAsia"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各部门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85" w:type="dxa"/>
            <w:vMerge w:val="continue"/>
            <w:vAlign w:val="center"/>
          </w:tcPr>
          <w:p>
            <w:pPr>
              <w:jc w:val="center"/>
              <w:rPr>
                <w:rFonts w:hint="eastAsia" w:ascii="仿宋" w:hAnsi="仿宋" w:eastAsia="仿宋" w:cs="仿宋"/>
                <w:color w:val="auto"/>
                <w:spacing w:val="0"/>
                <w:sz w:val="24"/>
                <w:szCs w:val="24"/>
                <w:vertAlign w:val="baseline"/>
                <w:lang w:eastAsia="zh-CN"/>
              </w:rPr>
            </w:pPr>
          </w:p>
        </w:tc>
        <w:tc>
          <w:tcPr>
            <w:tcW w:w="645" w:type="dxa"/>
            <w:vAlign w:val="center"/>
          </w:tcPr>
          <w:p>
            <w:pPr>
              <w:jc w:val="center"/>
              <w:rPr>
                <w:rFonts w:hint="default"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15</w:t>
            </w:r>
          </w:p>
        </w:tc>
        <w:tc>
          <w:tcPr>
            <w:tcW w:w="8963" w:type="dxa"/>
            <w:vAlign w:val="center"/>
          </w:tcPr>
          <w:p>
            <w:pPr>
              <w:jc w:val="both"/>
              <w:rPr>
                <w:rFonts w:hint="eastAsia"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eastAsia="zh-CN"/>
              </w:rPr>
              <w:t>制定学校2022年精神文明工作要点，</w:t>
            </w:r>
            <w:r>
              <w:rPr>
                <w:rFonts w:hint="eastAsia" w:ascii="仿宋" w:hAnsi="仿宋" w:eastAsia="仿宋" w:cs="仿宋"/>
                <w:color w:val="auto"/>
                <w:spacing w:val="0"/>
                <w:sz w:val="24"/>
                <w:szCs w:val="24"/>
                <w:vertAlign w:val="baseline"/>
                <w:lang w:val="en-US" w:eastAsia="zh-CN"/>
              </w:rPr>
              <w:t>扎实开展</w:t>
            </w:r>
            <w:r>
              <w:rPr>
                <w:rFonts w:hint="eastAsia" w:ascii="仿宋" w:hAnsi="仿宋" w:eastAsia="仿宋" w:cs="仿宋"/>
                <w:color w:val="auto"/>
                <w:spacing w:val="0"/>
                <w:sz w:val="24"/>
                <w:szCs w:val="24"/>
                <w:vertAlign w:val="baseline"/>
                <w:lang w:eastAsia="zh-CN"/>
              </w:rPr>
              <w:t>文明校园</w:t>
            </w:r>
            <w:r>
              <w:rPr>
                <w:rFonts w:hint="eastAsia" w:ascii="仿宋" w:hAnsi="仿宋" w:eastAsia="仿宋" w:cs="仿宋"/>
                <w:color w:val="auto"/>
                <w:spacing w:val="0"/>
                <w:sz w:val="24"/>
                <w:szCs w:val="24"/>
                <w:vertAlign w:val="baseline"/>
                <w:lang w:val="en-US" w:eastAsia="zh-CN"/>
              </w:rPr>
              <w:t>和</w:t>
            </w:r>
            <w:r>
              <w:rPr>
                <w:rFonts w:hint="eastAsia" w:ascii="仿宋" w:hAnsi="仿宋" w:eastAsia="仿宋" w:cs="仿宋"/>
                <w:color w:val="auto"/>
                <w:spacing w:val="0"/>
                <w:sz w:val="24"/>
                <w:szCs w:val="24"/>
                <w:vertAlign w:val="baseline"/>
                <w:lang w:eastAsia="zh-CN"/>
              </w:rPr>
              <w:t>文明单位建设。</w:t>
            </w:r>
          </w:p>
        </w:tc>
        <w:tc>
          <w:tcPr>
            <w:tcW w:w="1695" w:type="dxa"/>
            <w:vAlign w:val="center"/>
          </w:tcPr>
          <w:p>
            <w:pPr>
              <w:jc w:val="center"/>
              <w:rPr>
                <w:rFonts w:hint="eastAsia" w:ascii="仿宋" w:hAnsi="仿宋" w:eastAsia="仿宋" w:cs="仿宋"/>
                <w:color w:val="auto"/>
                <w:spacing w:val="0"/>
                <w:sz w:val="24"/>
                <w:szCs w:val="24"/>
                <w:vertAlign w:val="baseline"/>
                <w:lang w:eastAsia="zh-CN"/>
              </w:rPr>
            </w:pPr>
            <w:r>
              <w:rPr>
                <w:rFonts w:hint="eastAsia" w:ascii="仿宋" w:hAnsi="仿宋" w:eastAsia="仿宋" w:cs="仿宋"/>
                <w:color w:val="auto"/>
                <w:spacing w:val="0"/>
                <w:sz w:val="24"/>
                <w:szCs w:val="24"/>
                <w:vertAlign w:val="baseline"/>
                <w:lang w:val="en-US" w:eastAsia="zh-CN"/>
              </w:rPr>
              <w:t>宣传统战部</w:t>
            </w:r>
          </w:p>
        </w:tc>
        <w:tc>
          <w:tcPr>
            <w:tcW w:w="2280" w:type="dxa"/>
            <w:vAlign w:val="center"/>
          </w:tcPr>
          <w:p>
            <w:pPr>
              <w:jc w:val="center"/>
              <w:rPr>
                <w:rFonts w:hint="eastAsia"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各二级学院</w:t>
            </w:r>
          </w:p>
          <w:p>
            <w:pPr>
              <w:jc w:val="center"/>
              <w:rPr>
                <w:rFonts w:hint="eastAsia"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各部门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85" w:type="dxa"/>
            <w:vMerge w:val="continue"/>
            <w:vAlign w:val="center"/>
          </w:tcPr>
          <w:p>
            <w:pPr>
              <w:jc w:val="center"/>
              <w:rPr>
                <w:rFonts w:hint="eastAsia" w:ascii="仿宋" w:hAnsi="仿宋" w:eastAsia="仿宋" w:cs="仿宋"/>
                <w:color w:val="auto"/>
                <w:spacing w:val="0"/>
                <w:sz w:val="24"/>
                <w:szCs w:val="24"/>
                <w:vertAlign w:val="baseline"/>
                <w:lang w:eastAsia="zh-CN"/>
              </w:rPr>
            </w:pPr>
          </w:p>
        </w:tc>
        <w:tc>
          <w:tcPr>
            <w:tcW w:w="645" w:type="dxa"/>
            <w:vAlign w:val="center"/>
          </w:tcPr>
          <w:p>
            <w:pPr>
              <w:jc w:val="center"/>
              <w:rPr>
                <w:rFonts w:hint="default"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16</w:t>
            </w:r>
          </w:p>
        </w:tc>
        <w:tc>
          <w:tcPr>
            <w:tcW w:w="8963" w:type="dxa"/>
            <w:vAlign w:val="center"/>
          </w:tcPr>
          <w:p>
            <w:pPr>
              <w:jc w:val="both"/>
              <w:rPr>
                <w:rFonts w:hint="eastAsia"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eastAsia="zh-CN"/>
              </w:rPr>
              <w:t>开展</w:t>
            </w:r>
            <w:r>
              <w:rPr>
                <w:rFonts w:hint="eastAsia" w:ascii="仿宋" w:hAnsi="仿宋" w:eastAsia="仿宋" w:cs="仿宋"/>
                <w:color w:val="auto"/>
                <w:spacing w:val="0"/>
                <w:sz w:val="24"/>
                <w:szCs w:val="24"/>
                <w:vertAlign w:val="baseline"/>
                <w:lang w:val="en-US" w:eastAsia="zh-CN"/>
              </w:rPr>
              <w:t>学校</w:t>
            </w:r>
            <w:r>
              <w:rPr>
                <w:rFonts w:hint="eastAsia" w:ascii="仿宋" w:hAnsi="仿宋" w:eastAsia="仿宋" w:cs="仿宋"/>
                <w:color w:val="auto"/>
                <w:spacing w:val="0"/>
                <w:sz w:val="24"/>
                <w:szCs w:val="24"/>
                <w:vertAlign w:val="baseline"/>
                <w:lang w:eastAsia="zh-CN"/>
              </w:rPr>
              <w:t>高职办学20周年庆祝日</w:t>
            </w:r>
            <w:r>
              <w:rPr>
                <w:rFonts w:hint="eastAsia" w:ascii="仿宋" w:hAnsi="仿宋" w:eastAsia="仿宋" w:cs="仿宋"/>
                <w:color w:val="auto"/>
                <w:spacing w:val="0"/>
                <w:sz w:val="24"/>
                <w:szCs w:val="24"/>
                <w:vertAlign w:val="baseline"/>
                <w:lang w:val="en-US" w:eastAsia="zh-CN"/>
              </w:rPr>
              <w:t>主题</w:t>
            </w:r>
            <w:r>
              <w:rPr>
                <w:rFonts w:hint="eastAsia" w:ascii="仿宋" w:hAnsi="仿宋" w:eastAsia="仿宋" w:cs="仿宋"/>
                <w:color w:val="auto"/>
                <w:spacing w:val="0"/>
                <w:sz w:val="24"/>
                <w:szCs w:val="24"/>
                <w:vertAlign w:val="baseline"/>
                <w:lang w:eastAsia="zh-CN"/>
              </w:rPr>
              <w:t>征集、校史编撰展出等活动。</w:t>
            </w:r>
          </w:p>
        </w:tc>
        <w:tc>
          <w:tcPr>
            <w:tcW w:w="1695" w:type="dxa"/>
            <w:vAlign w:val="center"/>
          </w:tcPr>
          <w:p>
            <w:pPr>
              <w:jc w:val="center"/>
              <w:rPr>
                <w:rFonts w:hint="eastAsia" w:ascii="仿宋" w:hAnsi="仿宋" w:eastAsia="仿宋" w:cs="仿宋"/>
                <w:color w:val="auto"/>
                <w:spacing w:val="0"/>
                <w:sz w:val="24"/>
                <w:szCs w:val="24"/>
                <w:vertAlign w:val="baseline"/>
                <w:lang w:eastAsia="zh-CN"/>
              </w:rPr>
            </w:pPr>
            <w:r>
              <w:rPr>
                <w:rFonts w:hint="eastAsia" w:ascii="仿宋" w:hAnsi="仿宋" w:eastAsia="仿宋" w:cs="仿宋"/>
                <w:color w:val="auto"/>
                <w:spacing w:val="0"/>
                <w:sz w:val="24"/>
                <w:szCs w:val="24"/>
                <w:vertAlign w:val="baseline"/>
                <w:lang w:val="en-US" w:eastAsia="zh-CN"/>
              </w:rPr>
              <w:t>宣传统战部</w:t>
            </w:r>
          </w:p>
        </w:tc>
        <w:tc>
          <w:tcPr>
            <w:tcW w:w="2280" w:type="dxa"/>
            <w:vAlign w:val="center"/>
          </w:tcPr>
          <w:p>
            <w:pPr>
              <w:jc w:val="center"/>
              <w:rPr>
                <w:rFonts w:hint="eastAsia"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各二级学院</w:t>
            </w:r>
          </w:p>
          <w:p>
            <w:pPr>
              <w:jc w:val="center"/>
              <w:rPr>
                <w:rFonts w:hint="eastAsia"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各部门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85" w:type="dxa"/>
            <w:vMerge w:val="continue"/>
            <w:vAlign w:val="center"/>
          </w:tcPr>
          <w:p>
            <w:pPr>
              <w:jc w:val="center"/>
              <w:rPr>
                <w:rFonts w:hint="eastAsia" w:ascii="仿宋" w:hAnsi="仿宋" w:eastAsia="仿宋" w:cs="仿宋"/>
                <w:color w:val="auto"/>
                <w:spacing w:val="0"/>
                <w:sz w:val="24"/>
                <w:szCs w:val="24"/>
                <w:vertAlign w:val="baseline"/>
                <w:lang w:eastAsia="zh-CN"/>
              </w:rPr>
            </w:pPr>
          </w:p>
        </w:tc>
        <w:tc>
          <w:tcPr>
            <w:tcW w:w="645" w:type="dxa"/>
            <w:vAlign w:val="center"/>
          </w:tcPr>
          <w:p>
            <w:pPr>
              <w:jc w:val="center"/>
              <w:rPr>
                <w:rFonts w:hint="default"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17</w:t>
            </w:r>
          </w:p>
        </w:tc>
        <w:tc>
          <w:tcPr>
            <w:tcW w:w="8963" w:type="dxa"/>
            <w:vAlign w:val="center"/>
          </w:tcPr>
          <w:p>
            <w:pPr>
              <w:jc w:val="both"/>
              <w:rPr>
                <w:rFonts w:hint="eastAsia" w:ascii="仿宋" w:hAnsi="仿宋" w:eastAsia="仿宋" w:cs="仿宋"/>
                <w:color w:val="auto"/>
                <w:spacing w:val="0"/>
                <w:sz w:val="24"/>
                <w:szCs w:val="24"/>
                <w:vertAlign w:val="baseline"/>
                <w:lang w:eastAsia="zh-CN"/>
              </w:rPr>
            </w:pPr>
            <w:r>
              <w:rPr>
                <w:rFonts w:hint="eastAsia" w:ascii="仿宋" w:hAnsi="仿宋" w:eastAsia="仿宋" w:cs="仿宋"/>
                <w:color w:val="auto"/>
                <w:spacing w:val="0"/>
                <w:sz w:val="24"/>
                <w:szCs w:val="24"/>
                <w:vertAlign w:val="baseline"/>
                <w:lang w:eastAsia="zh-CN"/>
              </w:rPr>
              <w:t>组织开展德园建设和竞技文化打造，提升校园文化建设水平。</w:t>
            </w:r>
          </w:p>
        </w:tc>
        <w:tc>
          <w:tcPr>
            <w:tcW w:w="1695" w:type="dxa"/>
            <w:vAlign w:val="center"/>
          </w:tcPr>
          <w:p>
            <w:pPr>
              <w:jc w:val="center"/>
              <w:rPr>
                <w:rFonts w:hint="eastAsia" w:ascii="仿宋" w:hAnsi="仿宋" w:eastAsia="仿宋" w:cs="仿宋"/>
                <w:color w:val="auto"/>
                <w:spacing w:val="0"/>
                <w:sz w:val="24"/>
                <w:szCs w:val="24"/>
                <w:vertAlign w:val="baseline"/>
                <w:lang w:eastAsia="zh-CN"/>
              </w:rPr>
            </w:pPr>
            <w:r>
              <w:rPr>
                <w:rFonts w:hint="eastAsia" w:ascii="仿宋" w:hAnsi="仿宋" w:eastAsia="仿宋" w:cs="仿宋"/>
                <w:color w:val="auto"/>
                <w:spacing w:val="0"/>
                <w:sz w:val="24"/>
                <w:szCs w:val="24"/>
                <w:vertAlign w:val="baseline"/>
                <w:lang w:val="en-US" w:eastAsia="zh-CN"/>
              </w:rPr>
              <w:t>宣传统战部</w:t>
            </w:r>
          </w:p>
        </w:tc>
        <w:tc>
          <w:tcPr>
            <w:tcW w:w="2280" w:type="dxa"/>
            <w:vAlign w:val="center"/>
          </w:tcPr>
          <w:p>
            <w:pPr>
              <w:jc w:val="center"/>
              <w:rPr>
                <w:rFonts w:hint="eastAsia"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各二级学院</w:t>
            </w:r>
          </w:p>
          <w:p>
            <w:pPr>
              <w:jc w:val="center"/>
              <w:rPr>
                <w:rFonts w:hint="eastAsia"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各部门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85" w:type="dxa"/>
            <w:vMerge w:val="restart"/>
            <w:vAlign w:val="center"/>
          </w:tcPr>
          <w:p>
            <w:pPr>
              <w:jc w:val="center"/>
              <w:rPr>
                <w:rFonts w:hint="eastAsia" w:ascii="仿宋" w:hAnsi="仿宋" w:eastAsia="仿宋" w:cs="仿宋"/>
                <w:color w:val="auto"/>
                <w:spacing w:val="0"/>
                <w:sz w:val="24"/>
                <w:szCs w:val="24"/>
                <w:vertAlign w:val="baseline"/>
                <w:lang w:eastAsia="zh-CN"/>
              </w:rPr>
            </w:pPr>
            <w:r>
              <w:rPr>
                <w:rFonts w:hint="eastAsia" w:ascii="仿宋" w:hAnsi="仿宋" w:eastAsia="仿宋" w:cs="仿宋"/>
                <w:color w:val="auto"/>
                <w:spacing w:val="0"/>
                <w:sz w:val="24"/>
                <w:szCs w:val="24"/>
                <w:vertAlign w:val="baseline"/>
                <w:lang w:val="en-US" w:eastAsia="zh-CN"/>
              </w:rPr>
              <w:t>（五）进一步推进统战工作</w:t>
            </w:r>
          </w:p>
        </w:tc>
        <w:tc>
          <w:tcPr>
            <w:tcW w:w="645" w:type="dxa"/>
            <w:vAlign w:val="center"/>
          </w:tcPr>
          <w:p>
            <w:pPr>
              <w:jc w:val="center"/>
              <w:rPr>
                <w:rFonts w:hint="default"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18</w:t>
            </w:r>
          </w:p>
        </w:tc>
        <w:tc>
          <w:tcPr>
            <w:tcW w:w="8963" w:type="dxa"/>
            <w:vAlign w:val="center"/>
          </w:tcPr>
          <w:p>
            <w:pPr>
              <w:jc w:val="both"/>
              <w:rPr>
                <w:rFonts w:hint="eastAsia" w:ascii="仿宋" w:hAnsi="仿宋" w:eastAsia="仿宋" w:cs="仿宋"/>
                <w:color w:val="auto"/>
                <w:spacing w:val="0"/>
                <w:sz w:val="24"/>
                <w:szCs w:val="24"/>
                <w:vertAlign w:val="baseline"/>
                <w:lang w:eastAsia="zh-CN"/>
              </w:rPr>
            </w:pPr>
            <w:r>
              <w:rPr>
                <w:rFonts w:hint="eastAsia" w:ascii="仿宋" w:hAnsi="仿宋" w:eastAsia="仿宋" w:cs="仿宋"/>
                <w:color w:val="auto"/>
                <w:spacing w:val="0"/>
                <w:sz w:val="24"/>
                <w:szCs w:val="24"/>
                <w:vertAlign w:val="baseline"/>
                <w:lang w:val="en-US" w:eastAsia="zh-CN"/>
              </w:rPr>
              <w:t>组织召开2022年学校统战工作会议，加强专兼职统战干部队伍培训，将党外代表人士队伍建设纳入干部队伍和人才队伍建设总体规划。</w:t>
            </w:r>
          </w:p>
        </w:tc>
        <w:tc>
          <w:tcPr>
            <w:tcW w:w="1695" w:type="dxa"/>
            <w:vAlign w:val="center"/>
          </w:tcPr>
          <w:p>
            <w:pPr>
              <w:jc w:val="center"/>
              <w:rPr>
                <w:rFonts w:hint="eastAsia" w:ascii="仿宋" w:hAnsi="仿宋" w:eastAsia="仿宋" w:cs="仿宋"/>
                <w:color w:val="auto"/>
                <w:spacing w:val="0"/>
                <w:sz w:val="24"/>
                <w:szCs w:val="24"/>
                <w:vertAlign w:val="baseline"/>
                <w:lang w:eastAsia="zh-CN"/>
              </w:rPr>
            </w:pPr>
            <w:r>
              <w:rPr>
                <w:rFonts w:hint="eastAsia" w:ascii="仿宋" w:hAnsi="仿宋" w:eastAsia="仿宋" w:cs="仿宋"/>
                <w:color w:val="auto"/>
                <w:spacing w:val="0"/>
                <w:sz w:val="24"/>
                <w:szCs w:val="24"/>
                <w:vertAlign w:val="baseline"/>
                <w:lang w:val="en-US" w:eastAsia="zh-CN"/>
              </w:rPr>
              <w:t>宣传统战部</w:t>
            </w:r>
          </w:p>
        </w:tc>
        <w:tc>
          <w:tcPr>
            <w:tcW w:w="2280" w:type="dxa"/>
            <w:vAlign w:val="center"/>
          </w:tcPr>
          <w:p>
            <w:pPr>
              <w:jc w:val="center"/>
              <w:rPr>
                <w:rFonts w:hint="eastAsia"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组织部、人事处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85" w:type="dxa"/>
            <w:vMerge w:val="continue"/>
            <w:vAlign w:val="center"/>
          </w:tcPr>
          <w:p>
            <w:pPr>
              <w:jc w:val="center"/>
              <w:rPr>
                <w:rFonts w:hint="eastAsia" w:ascii="仿宋" w:hAnsi="仿宋" w:eastAsia="仿宋" w:cs="仿宋"/>
                <w:color w:val="auto"/>
                <w:spacing w:val="0"/>
                <w:sz w:val="24"/>
                <w:szCs w:val="24"/>
                <w:vertAlign w:val="baseline"/>
                <w:lang w:eastAsia="zh-CN"/>
              </w:rPr>
            </w:pPr>
          </w:p>
        </w:tc>
        <w:tc>
          <w:tcPr>
            <w:tcW w:w="645" w:type="dxa"/>
            <w:vAlign w:val="center"/>
          </w:tcPr>
          <w:p>
            <w:pPr>
              <w:jc w:val="center"/>
              <w:rPr>
                <w:rFonts w:hint="default"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19</w:t>
            </w:r>
          </w:p>
        </w:tc>
        <w:tc>
          <w:tcPr>
            <w:tcW w:w="8963" w:type="dxa"/>
            <w:vAlign w:val="center"/>
          </w:tcPr>
          <w:p>
            <w:pPr>
              <w:jc w:val="both"/>
              <w:rPr>
                <w:rFonts w:hint="eastAsia" w:ascii="仿宋" w:hAnsi="仿宋" w:eastAsia="仿宋" w:cs="仿宋"/>
                <w:color w:val="auto"/>
                <w:spacing w:val="0"/>
                <w:sz w:val="24"/>
                <w:szCs w:val="24"/>
                <w:vertAlign w:val="baseline"/>
                <w:lang w:eastAsia="zh-CN"/>
              </w:rPr>
            </w:pPr>
            <w:r>
              <w:rPr>
                <w:rFonts w:hint="eastAsia" w:ascii="仿宋" w:hAnsi="仿宋" w:eastAsia="仿宋" w:cs="仿宋"/>
                <w:color w:val="auto"/>
                <w:spacing w:val="0"/>
                <w:sz w:val="24"/>
                <w:szCs w:val="24"/>
                <w:vertAlign w:val="baseline"/>
                <w:lang w:val="en-US" w:eastAsia="zh-CN"/>
              </w:rPr>
              <w:t>以铸牢中华民族共同体意识为主线，广泛开展民族团结进步教育。守好课堂、实践和网络阵地，推动校地联动工作常态化开展，继续开展师生宗教信仰情况专项调研。</w:t>
            </w:r>
          </w:p>
        </w:tc>
        <w:tc>
          <w:tcPr>
            <w:tcW w:w="1695" w:type="dxa"/>
            <w:vAlign w:val="center"/>
          </w:tcPr>
          <w:p>
            <w:pPr>
              <w:jc w:val="center"/>
              <w:rPr>
                <w:rFonts w:hint="eastAsia" w:ascii="仿宋" w:hAnsi="仿宋" w:eastAsia="仿宋" w:cs="仿宋"/>
                <w:color w:val="auto"/>
                <w:spacing w:val="0"/>
                <w:sz w:val="24"/>
                <w:szCs w:val="24"/>
                <w:vertAlign w:val="baseline"/>
                <w:lang w:eastAsia="zh-CN"/>
              </w:rPr>
            </w:pPr>
            <w:r>
              <w:rPr>
                <w:rFonts w:hint="eastAsia" w:ascii="仿宋" w:hAnsi="仿宋" w:eastAsia="仿宋" w:cs="仿宋"/>
                <w:color w:val="auto"/>
                <w:spacing w:val="0"/>
                <w:sz w:val="24"/>
                <w:szCs w:val="24"/>
                <w:vertAlign w:val="baseline"/>
                <w:lang w:val="en-US" w:eastAsia="zh-CN"/>
              </w:rPr>
              <w:t>宣传统战部</w:t>
            </w:r>
          </w:p>
        </w:tc>
        <w:tc>
          <w:tcPr>
            <w:tcW w:w="2280" w:type="dxa"/>
            <w:vAlign w:val="center"/>
          </w:tcPr>
          <w:p>
            <w:pPr>
              <w:jc w:val="center"/>
              <w:rPr>
                <w:rFonts w:hint="eastAsia"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学工部、团委</w:t>
            </w:r>
          </w:p>
          <w:p>
            <w:pPr>
              <w:jc w:val="center"/>
              <w:rPr>
                <w:rFonts w:hint="eastAsia"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教务处、人事处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85" w:type="dxa"/>
            <w:vMerge w:val="continue"/>
            <w:vAlign w:val="center"/>
          </w:tcPr>
          <w:p>
            <w:pPr>
              <w:jc w:val="center"/>
              <w:rPr>
                <w:rFonts w:hint="eastAsia" w:ascii="仿宋" w:hAnsi="仿宋" w:eastAsia="仿宋" w:cs="仿宋"/>
                <w:color w:val="auto"/>
                <w:spacing w:val="0"/>
                <w:sz w:val="24"/>
                <w:szCs w:val="24"/>
                <w:vertAlign w:val="baseline"/>
                <w:lang w:eastAsia="zh-CN"/>
              </w:rPr>
            </w:pPr>
          </w:p>
        </w:tc>
        <w:tc>
          <w:tcPr>
            <w:tcW w:w="645" w:type="dxa"/>
            <w:vAlign w:val="center"/>
          </w:tcPr>
          <w:p>
            <w:pPr>
              <w:jc w:val="center"/>
              <w:rPr>
                <w:rFonts w:hint="default"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20</w:t>
            </w:r>
          </w:p>
        </w:tc>
        <w:tc>
          <w:tcPr>
            <w:tcW w:w="8963" w:type="dxa"/>
            <w:vAlign w:val="center"/>
          </w:tcPr>
          <w:p>
            <w:pPr>
              <w:jc w:val="both"/>
              <w:rPr>
                <w:rFonts w:hint="eastAsia" w:ascii="仿宋" w:hAnsi="仿宋" w:eastAsia="仿宋" w:cs="仿宋"/>
                <w:color w:val="auto"/>
                <w:spacing w:val="0"/>
                <w:sz w:val="24"/>
                <w:szCs w:val="24"/>
                <w:vertAlign w:val="baseline"/>
                <w:lang w:eastAsia="zh-CN"/>
              </w:rPr>
            </w:pPr>
            <w:r>
              <w:rPr>
                <w:rFonts w:hint="eastAsia" w:ascii="仿宋" w:hAnsi="仿宋" w:eastAsia="仿宋" w:cs="仿宋"/>
                <w:color w:val="auto"/>
                <w:spacing w:val="0"/>
                <w:sz w:val="24"/>
                <w:szCs w:val="24"/>
                <w:vertAlign w:val="baseline"/>
                <w:lang w:val="en-US" w:eastAsia="zh-CN"/>
              </w:rPr>
              <w:t>围绕学校中心任务和工作重点，广泛团结各方力量，落实教代会、座谈会及意见征集等工作的采纳反馈要求，提高建议提案办理工作能力和效果。</w:t>
            </w:r>
          </w:p>
        </w:tc>
        <w:tc>
          <w:tcPr>
            <w:tcW w:w="1695" w:type="dxa"/>
            <w:vAlign w:val="center"/>
          </w:tcPr>
          <w:p>
            <w:pPr>
              <w:jc w:val="center"/>
              <w:rPr>
                <w:rFonts w:hint="eastAsia"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工会</w:t>
            </w:r>
          </w:p>
        </w:tc>
        <w:tc>
          <w:tcPr>
            <w:tcW w:w="2280" w:type="dxa"/>
            <w:vAlign w:val="center"/>
          </w:tcPr>
          <w:p>
            <w:pPr>
              <w:jc w:val="center"/>
              <w:rPr>
                <w:rFonts w:hint="eastAsia"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各二级学院</w:t>
            </w:r>
          </w:p>
          <w:p>
            <w:pPr>
              <w:jc w:val="center"/>
              <w:rPr>
                <w:rFonts w:hint="eastAsia"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各部门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185" w:type="dxa"/>
            <w:vMerge w:val="restart"/>
            <w:vAlign w:val="center"/>
          </w:tcPr>
          <w:p>
            <w:pPr>
              <w:jc w:val="center"/>
              <w:rPr>
                <w:rFonts w:hint="eastAsia" w:ascii="仿宋" w:hAnsi="仿宋" w:eastAsia="仿宋" w:cs="仿宋"/>
                <w:color w:val="auto"/>
                <w:spacing w:val="0"/>
                <w:sz w:val="24"/>
                <w:szCs w:val="24"/>
                <w:vertAlign w:val="baseline"/>
                <w:lang w:eastAsia="zh-CN"/>
              </w:rPr>
            </w:pPr>
            <w:r>
              <w:rPr>
                <w:rFonts w:hint="eastAsia" w:ascii="仿宋" w:hAnsi="仿宋" w:eastAsia="仿宋" w:cs="仿宋"/>
                <w:color w:val="auto"/>
                <w:spacing w:val="0"/>
                <w:sz w:val="24"/>
                <w:szCs w:val="24"/>
                <w:vertAlign w:val="baseline"/>
                <w:lang w:val="en-US" w:eastAsia="zh-CN"/>
              </w:rPr>
              <w:t>（六）坚定不移推进全面从严治党</w:t>
            </w:r>
          </w:p>
        </w:tc>
        <w:tc>
          <w:tcPr>
            <w:tcW w:w="645" w:type="dxa"/>
            <w:vAlign w:val="center"/>
          </w:tcPr>
          <w:p>
            <w:pPr>
              <w:jc w:val="center"/>
              <w:rPr>
                <w:rFonts w:hint="default"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21</w:t>
            </w:r>
          </w:p>
        </w:tc>
        <w:tc>
          <w:tcPr>
            <w:tcW w:w="8963" w:type="dxa"/>
            <w:vAlign w:val="center"/>
          </w:tcPr>
          <w:p>
            <w:pPr>
              <w:jc w:val="both"/>
              <w:rPr>
                <w:rFonts w:hint="eastAsia" w:ascii="仿宋" w:hAnsi="仿宋" w:eastAsia="仿宋" w:cs="仿宋"/>
                <w:color w:val="auto"/>
                <w:spacing w:val="0"/>
                <w:sz w:val="24"/>
                <w:szCs w:val="24"/>
                <w:vertAlign w:val="baseline"/>
                <w:lang w:eastAsia="zh-CN"/>
              </w:rPr>
            </w:pPr>
            <w:r>
              <w:rPr>
                <w:rFonts w:hint="eastAsia" w:ascii="仿宋" w:hAnsi="仿宋" w:eastAsia="仿宋" w:cs="仿宋"/>
                <w:color w:val="auto"/>
                <w:spacing w:val="0"/>
                <w:sz w:val="24"/>
                <w:szCs w:val="24"/>
                <w:vertAlign w:val="baseline"/>
                <w:lang w:val="en-US" w:eastAsia="zh-CN"/>
              </w:rPr>
              <w:t>认真贯彻落实习近平总书记在十九届中央纪委六次全会上的讲话精神，坚持以党的政治建设为统领，把严的主基调长期坚持下去，切实担起全面从严治党主体责任，全面履行党委书记第一责任人职责，严格落实从严治党责任清单，压实班子成员“一岗双责”，层层传导压力，坚持真管真严、敢管敢严、长管长严。</w:t>
            </w:r>
          </w:p>
        </w:tc>
        <w:tc>
          <w:tcPr>
            <w:tcW w:w="1695" w:type="dxa"/>
            <w:vAlign w:val="center"/>
          </w:tcPr>
          <w:p>
            <w:pPr>
              <w:jc w:val="center"/>
              <w:rPr>
                <w:rFonts w:hint="default"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党政办公室</w:t>
            </w:r>
          </w:p>
        </w:tc>
        <w:tc>
          <w:tcPr>
            <w:tcW w:w="2280" w:type="dxa"/>
            <w:vAlign w:val="center"/>
          </w:tcPr>
          <w:p>
            <w:pPr>
              <w:jc w:val="center"/>
              <w:rPr>
                <w:rFonts w:hint="eastAsia"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各基层党组织</w:t>
            </w:r>
          </w:p>
          <w:p>
            <w:pPr>
              <w:jc w:val="center"/>
              <w:rPr>
                <w:rFonts w:hint="eastAsia"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纪委综合办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85" w:type="dxa"/>
            <w:vMerge w:val="continue"/>
            <w:vAlign w:val="center"/>
          </w:tcPr>
          <w:p>
            <w:pPr>
              <w:jc w:val="center"/>
              <w:rPr>
                <w:rFonts w:hint="eastAsia" w:ascii="仿宋" w:hAnsi="仿宋" w:eastAsia="仿宋" w:cs="仿宋"/>
                <w:color w:val="auto"/>
                <w:spacing w:val="0"/>
                <w:sz w:val="24"/>
                <w:szCs w:val="24"/>
                <w:vertAlign w:val="baseline"/>
                <w:lang w:eastAsia="zh-CN"/>
              </w:rPr>
            </w:pPr>
          </w:p>
        </w:tc>
        <w:tc>
          <w:tcPr>
            <w:tcW w:w="645" w:type="dxa"/>
            <w:vAlign w:val="center"/>
          </w:tcPr>
          <w:p>
            <w:pPr>
              <w:jc w:val="center"/>
              <w:rPr>
                <w:rFonts w:hint="default"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22</w:t>
            </w:r>
          </w:p>
        </w:tc>
        <w:tc>
          <w:tcPr>
            <w:tcW w:w="8963" w:type="dxa"/>
            <w:vAlign w:val="center"/>
          </w:tcPr>
          <w:p>
            <w:pPr>
              <w:jc w:val="both"/>
              <w:rPr>
                <w:rFonts w:hint="eastAsia" w:ascii="仿宋" w:hAnsi="仿宋" w:eastAsia="仿宋" w:cs="仿宋"/>
                <w:color w:val="auto"/>
                <w:spacing w:val="0"/>
                <w:sz w:val="24"/>
                <w:szCs w:val="24"/>
                <w:vertAlign w:val="baseline"/>
                <w:lang w:eastAsia="zh-CN"/>
              </w:rPr>
            </w:pPr>
            <w:r>
              <w:rPr>
                <w:rFonts w:hint="eastAsia" w:ascii="仿宋" w:hAnsi="仿宋" w:eastAsia="仿宋" w:cs="仿宋"/>
                <w:color w:val="auto"/>
                <w:spacing w:val="0"/>
                <w:sz w:val="24"/>
                <w:szCs w:val="24"/>
                <w:vertAlign w:val="baseline"/>
                <w:lang w:val="en-US" w:eastAsia="zh-CN"/>
              </w:rPr>
              <w:t>加强对“一把手”和领导班子的政治监督，运用好监督执纪“四种形态”，严肃查处招生、考试、师德失范和侵害师生利益的违规违纪违法行为，持之以恒正风肃纪，严格落实中央八项规定及其实施精神，驰而不息纠治“四风”，持续整治“怕、慢、假、庸、散”作风问题，加强对党员干部全方位管理监督，进一步优化政治生态和育人环境。</w:t>
            </w:r>
          </w:p>
        </w:tc>
        <w:tc>
          <w:tcPr>
            <w:tcW w:w="1695" w:type="dxa"/>
            <w:vAlign w:val="center"/>
          </w:tcPr>
          <w:p>
            <w:pPr>
              <w:jc w:val="center"/>
              <w:rPr>
                <w:rFonts w:hint="default"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纪委综合办</w:t>
            </w:r>
          </w:p>
        </w:tc>
        <w:tc>
          <w:tcPr>
            <w:tcW w:w="2280" w:type="dxa"/>
            <w:vAlign w:val="center"/>
          </w:tcPr>
          <w:p>
            <w:pPr>
              <w:jc w:val="center"/>
              <w:rPr>
                <w:rFonts w:hint="eastAsia"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各基层党组织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68" w:type="dxa"/>
            <w:gridSpan w:val="5"/>
            <w:vAlign w:val="center"/>
          </w:tcPr>
          <w:p>
            <w:pPr>
              <w:jc w:val="center"/>
              <w:rPr>
                <w:rFonts w:hint="eastAsia" w:ascii="仿宋" w:hAnsi="仿宋" w:eastAsia="仿宋" w:cs="仿宋"/>
                <w:color w:val="auto"/>
                <w:spacing w:val="0"/>
                <w:sz w:val="24"/>
                <w:szCs w:val="24"/>
                <w:vertAlign w:val="baseline"/>
                <w:lang w:val="en-US" w:eastAsia="zh-CN"/>
              </w:rPr>
            </w:pPr>
            <w:r>
              <w:rPr>
                <w:rFonts w:hint="eastAsia" w:ascii="黑体" w:hAnsi="黑体" w:eastAsia="黑体" w:cs="黑体"/>
                <w:color w:val="auto"/>
                <w:spacing w:val="0"/>
                <w:sz w:val="24"/>
                <w:szCs w:val="24"/>
                <w:vertAlign w:val="baseline"/>
                <w:lang w:val="en-US" w:eastAsia="zh-CN"/>
              </w:rPr>
              <w:t>二、强化立德树人，促进学生全面发展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85" w:type="dxa"/>
            <w:vMerge w:val="restart"/>
            <w:vAlign w:val="center"/>
          </w:tcPr>
          <w:p>
            <w:pPr>
              <w:jc w:val="center"/>
              <w:rPr>
                <w:rFonts w:hint="eastAsia" w:ascii="仿宋" w:hAnsi="仿宋" w:eastAsia="仿宋" w:cs="仿宋"/>
                <w:color w:val="auto"/>
                <w:spacing w:val="0"/>
                <w:sz w:val="24"/>
                <w:szCs w:val="24"/>
                <w:vertAlign w:val="baseline"/>
                <w:lang w:eastAsia="zh-CN"/>
              </w:rPr>
            </w:pPr>
            <w:r>
              <w:rPr>
                <w:rFonts w:hint="eastAsia" w:ascii="仿宋" w:hAnsi="仿宋" w:eastAsia="仿宋" w:cs="仿宋"/>
                <w:color w:val="auto"/>
                <w:spacing w:val="0"/>
                <w:sz w:val="24"/>
                <w:szCs w:val="24"/>
                <w:vertAlign w:val="baseline"/>
                <w:lang w:val="en-US" w:eastAsia="zh-CN"/>
              </w:rPr>
              <w:t>（七）加强和改进思想政治工作</w:t>
            </w:r>
          </w:p>
        </w:tc>
        <w:tc>
          <w:tcPr>
            <w:tcW w:w="645" w:type="dxa"/>
            <w:vAlign w:val="center"/>
          </w:tcPr>
          <w:p>
            <w:pPr>
              <w:jc w:val="center"/>
              <w:rPr>
                <w:rFonts w:hint="default"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23</w:t>
            </w:r>
          </w:p>
        </w:tc>
        <w:tc>
          <w:tcPr>
            <w:tcW w:w="8963" w:type="dxa"/>
            <w:vAlign w:val="center"/>
          </w:tcPr>
          <w:p>
            <w:pPr>
              <w:jc w:val="both"/>
              <w:rPr>
                <w:rFonts w:hint="eastAsia" w:ascii="仿宋" w:hAnsi="仿宋" w:eastAsia="仿宋" w:cs="仿宋"/>
                <w:color w:val="auto"/>
                <w:spacing w:val="0"/>
                <w:sz w:val="24"/>
                <w:szCs w:val="24"/>
                <w:vertAlign w:val="baseline"/>
                <w:lang w:eastAsia="zh-CN"/>
              </w:rPr>
            </w:pPr>
            <w:r>
              <w:rPr>
                <w:rFonts w:hint="eastAsia" w:ascii="仿宋" w:hAnsi="仿宋" w:eastAsia="仿宋" w:cs="仿宋"/>
                <w:color w:val="auto"/>
                <w:spacing w:val="0"/>
                <w:sz w:val="24"/>
                <w:szCs w:val="24"/>
                <w:vertAlign w:val="baseline"/>
                <w:lang w:val="en-US" w:eastAsia="zh-CN"/>
              </w:rPr>
              <w:t>建强马克思主义学院，推进习近平新时代中国特色社会主义思想进教材、进课堂、进头脑。</w:t>
            </w:r>
          </w:p>
        </w:tc>
        <w:tc>
          <w:tcPr>
            <w:tcW w:w="1695" w:type="dxa"/>
            <w:vAlign w:val="center"/>
          </w:tcPr>
          <w:p>
            <w:pPr>
              <w:jc w:val="center"/>
              <w:rPr>
                <w:rFonts w:hint="default"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17"/>
                <w:sz w:val="24"/>
                <w:szCs w:val="24"/>
                <w:vertAlign w:val="baseline"/>
                <w:lang w:val="en-US" w:eastAsia="zh-CN"/>
              </w:rPr>
              <w:t>马克思主义学院</w:t>
            </w:r>
          </w:p>
        </w:tc>
        <w:tc>
          <w:tcPr>
            <w:tcW w:w="2280" w:type="dxa"/>
            <w:vAlign w:val="center"/>
          </w:tcPr>
          <w:p>
            <w:pPr>
              <w:jc w:val="center"/>
              <w:rPr>
                <w:rFonts w:hint="eastAsia"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组织部、人事处</w:t>
            </w:r>
          </w:p>
          <w:p>
            <w:pPr>
              <w:jc w:val="center"/>
              <w:rPr>
                <w:rFonts w:hint="eastAsia"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教务处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85" w:type="dxa"/>
            <w:vMerge w:val="continue"/>
            <w:vAlign w:val="center"/>
          </w:tcPr>
          <w:p>
            <w:pPr>
              <w:jc w:val="center"/>
              <w:rPr>
                <w:rFonts w:hint="eastAsia" w:ascii="仿宋" w:hAnsi="仿宋" w:eastAsia="仿宋" w:cs="仿宋"/>
                <w:color w:val="auto"/>
                <w:spacing w:val="0"/>
                <w:sz w:val="24"/>
                <w:szCs w:val="24"/>
                <w:vertAlign w:val="baseline"/>
                <w:lang w:eastAsia="zh-CN"/>
              </w:rPr>
            </w:pPr>
          </w:p>
        </w:tc>
        <w:tc>
          <w:tcPr>
            <w:tcW w:w="645" w:type="dxa"/>
            <w:vAlign w:val="center"/>
          </w:tcPr>
          <w:p>
            <w:pPr>
              <w:jc w:val="center"/>
              <w:rPr>
                <w:rFonts w:hint="default"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24</w:t>
            </w:r>
          </w:p>
        </w:tc>
        <w:tc>
          <w:tcPr>
            <w:tcW w:w="8963" w:type="dxa"/>
            <w:vAlign w:val="center"/>
          </w:tcPr>
          <w:p>
            <w:pPr>
              <w:jc w:val="both"/>
              <w:rPr>
                <w:rFonts w:hint="eastAsia" w:ascii="仿宋" w:hAnsi="仿宋" w:eastAsia="仿宋" w:cs="仿宋"/>
                <w:color w:val="auto"/>
                <w:spacing w:val="0"/>
                <w:sz w:val="24"/>
                <w:szCs w:val="24"/>
                <w:vertAlign w:val="baseline"/>
                <w:lang w:eastAsia="zh-CN"/>
              </w:rPr>
            </w:pPr>
            <w:r>
              <w:rPr>
                <w:rFonts w:hint="eastAsia" w:ascii="仿宋" w:hAnsi="仿宋" w:eastAsia="仿宋" w:cs="仿宋"/>
                <w:color w:val="auto"/>
                <w:spacing w:val="0"/>
                <w:sz w:val="24"/>
                <w:szCs w:val="24"/>
                <w:vertAlign w:val="baseline"/>
                <w:lang w:val="en-US" w:eastAsia="zh-CN"/>
              </w:rPr>
              <w:t>发挥思政课铸魂育人主渠道作用，加强以习近平新时代中国特色社会主义思想为核心内容的课程群建设，加强思政课教师团队建设，创新思政课教学方法，用好《红色文化》教材，推动优质思政课线上资源建设，打造“思政课精品课程”，组织参加全省思政课教师教学能力大赛，提升思政课教师教育教学水平。</w:t>
            </w:r>
          </w:p>
        </w:tc>
        <w:tc>
          <w:tcPr>
            <w:tcW w:w="1695" w:type="dxa"/>
            <w:vAlign w:val="center"/>
          </w:tcPr>
          <w:p>
            <w:pPr>
              <w:jc w:val="center"/>
              <w:rPr>
                <w:rFonts w:hint="eastAsia" w:ascii="仿宋" w:hAnsi="仿宋" w:eastAsia="仿宋" w:cs="仿宋"/>
                <w:color w:val="auto"/>
                <w:spacing w:val="0"/>
                <w:sz w:val="24"/>
                <w:szCs w:val="24"/>
                <w:vertAlign w:val="baseline"/>
                <w:lang w:eastAsia="zh-CN"/>
              </w:rPr>
            </w:pPr>
            <w:r>
              <w:rPr>
                <w:rFonts w:hint="eastAsia" w:ascii="仿宋" w:hAnsi="仿宋" w:eastAsia="仿宋" w:cs="仿宋"/>
                <w:color w:val="auto"/>
                <w:spacing w:val="-17"/>
                <w:sz w:val="24"/>
                <w:szCs w:val="24"/>
                <w:vertAlign w:val="baseline"/>
                <w:lang w:val="en-US" w:eastAsia="zh-CN"/>
              </w:rPr>
              <w:t>马克思主义学院</w:t>
            </w:r>
          </w:p>
        </w:tc>
        <w:tc>
          <w:tcPr>
            <w:tcW w:w="2280" w:type="dxa"/>
            <w:vAlign w:val="center"/>
          </w:tcPr>
          <w:p>
            <w:pPr>
              <w:jc w:val="center"/>
              <w:rPr>
                <w:rFonts w:hint="eastAsia"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教务处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85" w:type="dxa"/>
            <w:vMerge w:val="continue"/>
            <w:vAlign w:val="center"/>
          </w:tcPr>
          <w:p>
            <w:pPr>
              <w:jc w:val="center"/>
              <w:rPr>
                <w:rFonts w:hint="eastAsia" w:ascii="仿宋" w:hAnsi="仿宋" w:eastAsia="仿宋" w:cs="仿宋"/>
                <w:color w:val="auto"/>
                <w:spacing w:val="0"/>
                <w:sz w:val="24"/>
                <w:szCs w:val="24"/>
                <w:vertAlign w:val="baseline"/>
                <w:lang w:eastAsia="zh-CN"/>
              </w:rPr>
            </w:pPr>
          </w:p>
        </w:tc>
        <w:tc>
          <w:tcPr>
            <w:tcW w:w="645" w:type="dxa"/>
            <w:vAlign w:val="center"/>
          </w:tcPr>
          <w:p>
            <w:pPr>
              <w:jc w:val="center"/>
              <w:rPr>
                <w:rFonts w:hint="default"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25</w:t>
            </w:r>
          </w:p>
        </w:tc>
        <w:tc>
          <w:tcPr>
            <w:tcW w:w="8963" w:type="dxa"/>
            <w:vAlign w:val="center"/>
          </w:tcPr>
          <w:p>
            <w:pPr>
              <w:jc w:val="both"/>
              <w:rPr>
                <w:rFonts w:hint="eastAsia" w:ascii="仿宋" w:hAnsi="仿宋" w:eastAsia="仿宋" w:cs="仿宋"/>
                <w:color w:val="auto"/>
                <w:spacing w:val="0"/>
                <w:sz w:val="24"/>
                <w:szCs w:val="24"/>
                <w:vertAlign w:val="baseline"/>
                <w:lang w:eastAsia="zh-CN"/>
              </w:rPr>
            </w:pPr>
            <w:r>
              <w:rPr>
                <w:rFonts w:hint="eastAsia" w:ascii="仿宋" w:hAnsi="仿宋" w:eastAsia="仿宋" w:cs="仿宋"/>
                <w:color w:val="auto"/>
                <w:spacing w:val="0"/>
                <w:sz w:val="24"/>
                <w:szCs w:val="24"/>
                <w:vertAlign w:val="baseline"/>
                <w:lang w:val="en-US" w:eastAsia="zh-CN"/>
              </w:rPr>
              <w:t>对标高校思想政治工作质量测评指标体系，落实“三全育人”机制，建强思想政治工作队伍，加强教师思想政治工作。</w:t>
            </w:r>
          </w:p>
        </w:tc>
        <w:tc>
          <w:tcPr>
            <w:tcW w:w="1695" w:type="dxa"/>
            <w:vAlign w:val="center"/>
          </w:tcPr>
          <w:p>
            <w:pPr>
              <w:jc w:val="center"/>
              <w:rPr>
                <w:rFonts w:hint="eastAsia" w:ascii="仿宋" w:hAnsi="仿宋" w:eastAsia="仿宋" w:cs="仿宋"/>
                <w:color w:val="auto"/>
                <w:spacing w:val="0"/>
                <w:sz w:val="24"/>
                <w:szCs w:val="24"/>
                <w:vertAlign w:val="baseline"/>
                <w:lang w:eastAsia="zh-CN"/>
              </w:rPr>
            </w:pPr>
            <w:r>
              <w:rPr>
                <w:rFonts w:hint="eastAsia" w:ascii="仿宋" w:hAnsi="仿宋" w:eastAsia="仿宋" w:cs="仿宋"/>
                <w:color w:val="auto"/>
                <w:spacing w:val="0"/>
                <w:sz w:val="24"/>
                <w:szCs w:val="24"/>
                <w:vertAlign w:val="baseline"/>
                <w:lang w:val="en-US" w:eastAsia="zh-CN"/>
              </w:rPr>
              <w:t>宣传统战部</w:t>
            </w:r>
          </w:p>
        </w:tc>
        <w:tc>
          <w:tcPr>
            <w:tcW w:w="2280" w:type="dxa"/>
            <w:vAlign w:val="center"/>
          </w:tcPr>
          <w:p>
            <w:pPr>
              <w:jc w:val="center"/>
              <w:rPr>
                <w:rFonts w:hint="eastAsia"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学工部、人事处</w:t>
            </w:r>
          </w:p>
          <w:p>
            <w:pPr>
              <w:jc w:val="center"/>
              <w:rPr>
                <w:rFonts w:hint="eastAsia"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17"/>
                <w:sz w:val="24"/>
                <w:szCs w:val="24"/>
                <w:vertAlign w:val="baseline"/>
                <w:lang w:val="en-US" w:eastAsia="zh-CN"/>
              </w:rPr>
              <w:t>马克思主义学院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85" w:type="dxa"/>
            <w:vMerge w:val="continue"/>
            <w:vAlign w:val="center"/>
          </w:tcPr>
          <w:p>
            <w:pPr>
              <w:jc w:val="center"/>
              <w:rPr>
                <w:rFonts w:hint="eastAsia" w:ascii="仿宋" w:hAnsi="仿宋" w:eastAsia="仿宋" w:cs="仿宋"/>
                <w:color w:val="auto"/>
                <w:spacing w:val="0"/>
                <w:sz w:val="24"/>
                <w:szCs w:val="24"/>
                <w:vertAlign w:val="baseline"/>
                <w:lang w:eastAsia="zh-CN"/>
              </w:rPr>
            </w:pPr>
          </w:p>
        </w:tc>
        <w:tc>
          <w:tcPr>
            <w:tcW w:w="645" w:type="dxa"/>
            <w:vAlign w:val="center"/>
          </w:tcPr>
          <w:p>
            <w:pPr>
              <w:jc w:val="center"/>
              <w:rPr>
                <w:rFonts w:hint="default"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26</w:t>
            </w:r>
          </w:p>
        </w:tc>
        <w:tc>
          <w:tcPr>
            <w:tcW w:w="8963" w:type="dxa"/>
            <w:vAlign w:val="center"/>
          </w:tcPr>
          <w:p>
            <w:pPr>
              <w:jc w:val="both"/>
              <w:rPr>
                <w:rFonts w:hint="eastAsia"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夯实红色文化铸魂育人实际效果，深入开展“红色走读”和“诵读红色家书”活动，积极参与全省大学生红色文化论坛。</w:t>
            </w:r>
          </w:p>
        </w:tc>
        <w:tc>
          <w:tcPr>
            <w:tcW w:w="1695" w:type="dxa"/>
            <w:vAlign w:val="center"/>
          </w:tcPr>
          <w:p>
            <w:pPr>
              <w:jc w:val="center"/>
              <w:rPr>
                <w:rFonts w:hint="default"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团委</w:t>
            </w:r>
          </w:p>
        </w:tc>
        <w:tc>
          <w:tcPr>
            <w:tcW w:w="2280" w:type="dxa"/>
            <w:vAlign w:val="center"/>
          </w:tcPr>
          <w:p>
            <w:pPr>
              <w:jc w:val="center"/>
              <w:rPr>
                <w:rFonts w:hint="eastAsia"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各二级学院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85" w:type="dxa"/>
            <w:vMerge w:val="restart"/>
            <w:vAlign w:val="center"/>
          </w:tcPr>
          <w:p>
            <w:pPr>
              <w:jc w:val="center"/>
              <w:rPr>
                <w:rFonts w:hint="eastAsia" w:ascii="仿宋" w:hAnsi="仿宋" w:eastAsia="仿宋" w:cs="仿宋"/>
                <w:color w:val="auto"/>
                <w:spacing w:val="0"/>
                <w:sz w:val="24"/>
                <w:szCs w:val="24"/>
                <w:vertAlign w:val="baseline"/>
                <w:lang w:eastAsia="zh-CN"/>
              </w:rPr>
            </w:pPr>
            <w:r>
              <w:rPr>
                <w:rFonts w:hint="eastAsia" w:ascii="仿宋" w:hAnsi="仿宋" w:eastAsia="仿宋" w:cs="仿宋"/>
                <w:color w:val="auto"/>
                <w:spacing w:val="0"/>
                <w:sz w:val="24"/>
                <w:szCs w:val="24"/>
                <w:vertAlign w:val="baseline"/>
                <w:lang w:val="en-US" w:eastAsia="zh-CN"/>
              </w:rPr>
              <w:t>（八）提升学生管理服务水平</w:t>
            </w:r>
          </w:p>
        </w:tc>
        <w:tc>
          <w:tcPr>
            <w:tcW w:w="645" w:type="dxa"/>
            <w:vAlign w:val="center"/>
          </w:tcPr>
          <w:p>
            <w:pPr>
              <w:jc w:val="center"/>
              <w:rPr>
                <w:rFonts w:hint="default"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27</w:t>
            </w:r>
          </w:p>
        </w:tc>
        <w:tc>
          <w:tcPr>
            <w:tcW w:w="8963" w:type="dxa"/>
            <w:vAlign w:val="center"/>
          </w:tcPr>
          <w:p>
            <w:pPr>
              <w:jc w:val="both"/>
              <w:rPr>
                <w:rFonts w:hint="eastAsia"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以牵头推进全省高职院校名班主任工作室建设为契机，培育一批学生工作骨干，打造3个以上省级名班主任工作室，加强辅导员队伍专业化、职业化、专家化建设，提高辅导员工作水平。</w:t>
            </w:r>
          </w:p>
        </w:tc>
        <w:tc>
          <w:tcPr>
            <w:tcW w:w="1695" w:type="dxa"/>
            <w:vAlign w:val="center"/>
          </w:tcPr>
          <w:p>
            <w:pPr>
              <w:jc w:val="center"/>
              <w:rPr>
                <w:rFonts w:hint="default"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学工部</w:t>
            </w:r>
          </w:p>
        </w:tc>
        <w:tc>
          <w:tcPr>
            <w:tcW w:w="2280" w:type="dxa"/>
            <w:vAlign w:val="center"/>
          </w:tcPr>
          <w:p>
            <w:pPr>
              <w:jc w:val="center"/>
              <w:rPr>
                <w:rFonts w:hint="eastAsia"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各二级学院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85" w:type="dxa"/>
            <w:vMerge w:val="continue"/>
            <w:vAlign w:val="center"/>
          </w:tcPr>
          <w:p>
            <w:pPr>
              <w:jc w:val="center"/>
              <w:rPr>
                <w:rFonts w:hint="eastAsia" w:ascii="仿宋" w:hAnsi="仿宋" w:eastAsia="仿宋" w:cs="仿宋"/>
                <w:color w:val="auto"/>
                <w:spacing w:val="0"/>
                <w:sz w:val="24"/>
                <w:szCs w:val="24"/>
                <w:vertAlign w:val="baseline"/>
                <w:lang w:eastAsia="zh-CN"/>
              </w:rPr>
            </w:pPr>
          </w:p>
        </w:tc>
        <w:tc>
          <w:tcPr>
            <w:tcW w:w="645" w:type="dxa"/>
            <w:vAlign w:val="center"/>
          </w:tcPr>
          <w:p>
            <w:pPr>
              <w:jc w:val="center"/>
              <w:rPr>
                <w:rFonts w:hint="default"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28</w:t>
            </w:r>
          </w:p>
        </w:tc>
        <w:tc>
          <w:tcPr>
            <w:tcW w:w="8963" w:type="dxa"/>
            <w:vAlign w:val="center"/>
          </w:tcPr>
          <w:p>
            <w:pPr>
              <w:jc w:val="both"/>
              <w:rPr>
                <w:rFonts w:hint="eastAsia"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建立“红色班级”常态化、长效化机制和科学评价体系，压茬推进“红色班级”创建，推进并完成学年度学生层诊改。</w:t>
            </w:r>
          </w:p>
        </w:tc>
        <w:tc>
          <w:tcPr>
            <w:tcW w:w="1695" w:type="dxa"/>
            <w:vAlign w:val="center"/>
          </w:tcPr>
          <w:p>
            <w:pPr>
              <w:jc w:val="center"/>
              <w:rPr>
                <w:rFonts w:hint="default"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学工部</w:t>
            </w:r>
          </w:p>
        </w:tc>
        <w:tc>
          <w:tcPr>
            <w:tcW w:w="2280" w:type="dxa"/>
            <w:vAlign w:val="center"/>
          </w:tcPr>
          <w:p>
            <w:pPr>
              <w:jc w:val="center"/>
              <w:rPr>
                <w:rFonts w:hint="eastAsia"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团委、各二级学院</w:t>
            </w:r>
          </w:p>
          <w:p>
            <w:pPr>
              <w:jc w:val="center"/>
              <w:rPr>
                <w:rFonts w:hint="eastAsia"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发展规划处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85" w:type="dxa"/>
            <w:vMerge w:val="continue"/>
            <w:vAlign w:val="center"/>
          </w:tcPr>
          <w:p>
            <w:pPr>
              <w:jc w:val="center"/>
              <w:rPr>
                <w:rFonts w:hint="eastAsia" w:ascii="仿宋" w:hAnsi="仿宋" w:eastAsia="仿宋" w:cs="仿宋"/>
                <w:color w:val="auto"/>
                <w:spacing w:val="0"/>
                <w:sz w:val="24"/>
                <w:szCs w:val="24"/>
                <w:vertAlign w:val="baseline"/>
                <w:lang w:eastAsia="zh-CN"/>
              </w:rPr>
            </w:pPr>
          </w:p>
        </w:tc>
        <w:tc>
          <w:tcPr>
            <w:tcW w:w="645" w:type="dxa"/>
            <w:vAlign w:val="center"/>
          </w:tcPr>
          <w:p>
            <w:pPr>
              <w:jc w:val="center"/>
              <w:rPr>
                <w:rFonts w:hint="default"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29</w:t>
            </w:r>
          </w:p>
        </w:tc>
        <w:tc>
          <w:tcPr>
            <w:tcW w:w="8963" w:type="dxa"/>
            <w:vAlign w:val="center"/>
          </w:tcPr>
          <w:p>
            <w:pPr>
              <w:jc w:val="both"/>
              <w:rPr>
                <w:rFonts w:hint="eastAsia"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加强学生心理健康教育和实践研究，强化二级朋辈辅导站的心理辅导辅助功能，实现心理健康筛查、预警、干预等一站式服务。</w:t>
            </w:r>
          </w:p>
        </w:tc>
        <w:tc>
          <w:tcPr>
            <w:tcW w:w="1695" w:type="dxa"/>
            <w:vAlign w:val="center"/>
          </w:tcPr>
          <w:p>
            <w:pPr>
              <w:jc w:val="center"/>
              <w:rPr>
                <w:rFonts w:hint="eastAsia" w:ascii="仿宋" w:hAnsi="仿宋" w:eastAsia="仿宋" w:cs="仿宋"/>
                <w:color w:val="auto"/>
                <w:spacing w:val="0"/>
                <w:sz w:val="24"/>
                <w:szCs w:val="24"/>
                <w:vertAlign w:val="baseline"/>
                <w:lang w:eastAsia="zh-CN"/>
              </w:rPr>
            </w:pPr>
            <w:r>
              <w:rPr>
                <w:rFonts w:hint="eastAsia" w:ascii="仿宋" w:hAnsi="仿宋" w:eastAsia="仿宋" w:cs="仿宋"/>
                <w:color w:val="auto"/>
                <w:spacing w:val="0"/>
                <w:sz w:val="24"/>
                <w:szCs w:val="24"/>
                <w:vertAlign w:val="baseline"/>
                <w:lang w:val="en-US" w:eastAsia="zh-CN"/>
              </w:rPr>
              <w:t>学工部</w:t>
            </w:r>
          </w:p>
        </w:tc>
        <w:tc>
          <w:tcPr>
            <w:tcW w:w="2280" w:type="dxa"/>
            <w:vAlign w:val="center"/>
          </w:tcPr>
          <w:p>
            <w:pPr>
              <w:jc w:val="center"/>
              <w:rPr>
                <w:rFonts w:hint="eastAsia"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各二级学院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85" w:type="dxa"/>
            <w:vMerge w:val="continue"/>
            <w:vAlign w:val="center"/>
          </w:tcPr>
          <w:p>
            <w:pPr>
              <w:jc w:val="center"/>
              <w:rPr>
                <w:rFonts w:hint="eastAsia" w:ascii="仿宋" w:hAnsi="仿宋" w:eastAsia="仿宋" w:cs="仿宋"/>
                <w:color w:val="auto"/>
                <w:spacing w:val="0"/>
                <w:sz w:val="24"/>
                <w:szCs w:val="24"/>
                <w:vertAlign w:val="baseline"/>
                <w:lang w:eastAsia="zh-CN"/>
              </w:rPr>
            </w:pPr>
          </w:p>
        </w:tc>
        <w:tc>
          <w:tcPr>
            <w:tcW w:w="645" w:type="dxa"/>
            <w:vAlign w:val="center"/>
          </w:tcPr>
          <w:p>
            <w:pPr>
              <w:jc w:val="center"/>
              <w:rPr>
                <w:rFonts w:hint="default"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30</w:t>
            </w:r>
          </w:p>
        </w:tc>
        <w:tc>
          <w:tcPr>
            <w:tcW w:w="8963" w:type="dxa"/>
            <w:vAlign w:val="center"/>
          </w:tcPr>
          <w:p>
            <w:pPr>
              <w:jc w:val="both"/>
              <w:rPr>
                <w:rFonts w:hint="eastAsia"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推进高校军事课教学改革，落实好学生军训工作计划，如期完成大学生征兵任务。</w:t>
            </w:r>
          </w:p>
        </w:tc>
        <w:tc>
          <w:tcPr>
            <w:tcW w:w="1695" w:type="dxa"/>
            <w:vAlign w:val="center"/>
          </w:tcPr>
          <w:p>
            <w:pPr>
              <w:jc w:val="center"/>
              <w:rPr>
                <w:rFonts w:hint="eastAsia" w:ascii="仿宋" w:hAnsi="仿宋" w:eastAsia="仿宋" w:cs="仿宋"/>
                <w:color w:val="auto"/>
                <w:spacing w:val="0"/>
                <w:sz w:val="24"/>
                <w:szCs w:val="24"/>
                <w:vertAlign w:val="baseline"/>
                <w:lang w:eastAsia="zh-CN"/>
              </w:rPr>
            </w:pPr>
            <w:r>
              <w:rPr>
                <w:rFonts w:hint="eastAsia" w:ascii="仿宋" w:hAnsi="仿宋" w:eastAsia="仿宋" w:cs="仿宋"/>
                <w:color w:val="auto"/>
                <w:spacing w:val="0"/>
                <w:sz w:val="24"/>
                <w:szCs w:val="24"/>
                <w:vertAlign w:val="baseline"/>
                <w:lang w:val="en-US" w:eastAsia="zh-CN"/>
              </w:rPr>
              <w:t>学工部</w:t>
            </w:r>
          </w:p>
        </w:tc>
        <w:tc>
          <w:tcPr>
            <w:tcW w:w="2280" w:type="dxa"/>
            <w:vAlign w:val="center"/>
          </w:tcPr>
          <w:p>
            <w:pPr>
              <w:jc w:val="center"/>
              <w:rPr>
                <w:rFonts w:hint="eastAsia"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各二级学院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85" w:type="dxa"/>
            <w:vMerge w:val="continue"/>
            <w:vAlign w:val="center"/>
          </w:tcPr>
          <w:p>
            <w:pPr>
              <w:jc w:val="center"/>
              <w:rPr>
                <w:rFonts w:hint="eastAsia" w:ascii="仿宋" w:hAnsi="仿宋" w:eastAsia="仿宋" w:cs="仿宋"/>
                <w:color w:val="auto"/>
                <w:spacing w:val="0"/>
                <w:sz w:val="24"/>
                <w:szCs w:val="24"/>
                <w:vertAlign w:val="baseline"/>
                <w:lang w:eastAsia="zh-CN"/>
              </w:rPr>
            </w:pPr>
          </w:p>
        </w:tc>
        <w:tc>
          <w:tcPr>
            <w:tcW w:w="645" w:type="dxa"/>
            <w:vAlign w:val="center"/>
          </w:tcPr>
          <w:p>
            <w:pPr>
              <w:jc w:val="center"/>
              <w:rPr>
                <w:rFonts w:hint="default"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31</w:t>
            </w:r>
          </w:p>
        </w:tc>
        <w:tc>
          <w:tcPr>
            <w:tcW w:w="8963" w:type="dxa"/>
            <w:vAlign w:val="center"/>
          </w:tcPr>
          <w:p>
            <w:pPr>
              <w:jc w:val="both"/>
              <w:rPr>
                <w:rFonts w:hint="eastAsia"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进一步提升学生资助信息化水平，提升特殊困难群体学生受助情况的数据分析，探索困难学生综合考评体系，强化资助育人工作成效考核。</w:t>
            </w:r>
          </w:p>
        </w:tc>
        <w:tc>
          <w:tcPr>
            <w:tcW w:w="1695" w:type="dxa"/>
            <w:vAlign w:val="center"/>
          </w:tcPr>
          <w:p>
            <w:pPr>
              <w:jc w:val="center"/>
              <w:rPr>
                <w:rFonts w:hint="eastAsia" w:ascii="仿宋" w:hAnsi="仿宋" w:eastAsia="仿宋" w:cs="仿宋"/>
                <w:color w:val="auto"/>
                <w:spacing w:val="0"/>
                <w:sz w:val="24"/>
                <w:szCs w:val="24"/>
                <w:vertAlign w:val="baseline"/>
                <w:lang w:eastAsia="zh-CN"/>
              </w:rPr>
            </w:pPr>
            <w:r>
              <w:rPr>
                <w:rFonts w:hint="eastAsia" w:ascii="仿宋" w:hAnsi="仿宋" w:eastAsia="仿宋" w:cs="仿宋"/>
                <w:color w:val="auto"/>
                <w:spacing w:val="0"/>
                <w:sz w:val="24"/>
                <w:szCs w:val="24"/>
                <w:vertAlign w:val="baseline"/>
                <w:lang w:val="en-US" w:eastAsia="zh-CN"/>
              </w:rPr>
              <w:t>学工部</w:t>
            </w:r>
          </w:p>
        </w:tc>
        <w:tc>
          <w:tcPr>
            <w:tcW w:w="2280" w:type="dxa"/>
            <w:vAlign w:val="center"/>
          </w:tcPr>
          <w:p>
            <w:pPr>
              <w:jc w:val="center"/>
              <w:rPr>
                <w:rFonts w:hint="eastAsia"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各二级学院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85" w:type="dxa"/>
            <w:vMerge w:val="restart"/>
            <w:vAlign w:val="center"/>
          </w:tcPr>
          <w:p>
            <w:pPr>
              <w:jc w:val="center"/>
              <w:rPr>
                <w:rFonts w:hint="eastAsia" w:ascii="仿宋" w:hAnsi="仿宋" w:eastAsia="仿宋" w:cs="仿宋"/>
                <w:color w:val="auto"/>
                <w:spacing w:val="0"/>
                <w:sz w:val="24"/>
                <w:szCs w:val="24"/>
                <w:vertAlign w:val="baseline"/>
                <w:lang w:eastAsia="zh-CN"/>
              </w:rPr>
            </w:pPr>
            <w:r>
              <w:rPr>
                <w:rFonts w:hint="eastAsia" w:ascii="仿宋" w:hAnsi="仿宋" w:eastAsia="仿宋" w:cs="仿宋"/>
                <w:color w:val="auto"/>
                <w:spacing w:val="0"/>
                <w:sz w:val="24"/>
                <w:szCs w:val="24"/>
                <w:vertAlign w:val="baseline"/>
                <w:lang w:val="en-US" w:eastAsia="zh-CN"/>
              </w:rPr>
              <w:t>（九）强化共青团组织引领作用</w:t>
            </w:r>
          </w:p>
        </w:tc>
        <w:tc>
          <w:tcPr>
            <w:tcW w:w="645" w:type="dxa"/>
            <w:vAlign w:val="center"/>
          </w:tcPr>
          <w:p>
            <w:pPr>
              <w:jc w:val="center"/>
              <w:rPr>
                <w:rFonts w:hint="default"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32</w:t>
            </w:r>
          </w:p>
        </w:tc>
        <w:tc>
          <w:tcPr>
            <w:tcW w:w="8963" w:type="dxa"/>
            <w:vAlign w:val="center"/>
          </w:tcPr>
          <w:p>
            <w:pPr>
              <w:jc w:val="both"/>
              <w:rPr>
                <w:rFonts w:hint="eastAsia"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围绕中国共产党第二十次代表大会的召开、中国共青团成立100周年、学校高职办学二十周年庆祝日等重要节点，开展系列主题宣传教育实践活动。</w:t>
            </w:r>
          </w:p>
        </w:tc>
        <w:tc>
          <w:tcPr>
            <w:tcW w:w="1695" w:type="dxa"/>
            <w:vAlign w:val="center"/>
          </w:tcPr>
          <w:p>
            <w:pPr>
              <w:jc w:val="center"/>
              <w:rPr>
                <w:rFonts w:hint="default"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团委</w:t>
            </w:r>
          </w:p>
        </w:tc>
        <w:tc>
          <w:tcPr>
            <w:tcW w:w="2280" w:type="dxa"/>
            <w:vAlign w:val="center"/>
          </w:tcPr>
          <w:p>
            <w:pPr>
              <w:jc w:val="center"/>
              <w:rPr>
                <w:rFonts w:hint="eastAsia"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学工部</w:t>
            </w:r>
          </w:p>
          <w:p>
            <w:pPr>
              <w:jc w:val="center"/>
              <w:rPr>
                <w:rFonts w:hint="eastAsia"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各二级学院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85" w:type="dxa"/>
            <w:vMerge w:val="continue"/>
            <w:vAlign w:val="center"/>
          </w:tcPr>
          <w:p>
            <w:pPr>
              <w:jc w:val="center"/>
              <w:rPr>
                <w:rFonts w:hint="eastAsia" w:ascii="仿宋" w:hAnsi="仿宋" w:eastAsia="仿宋" w:cs="仿宋"/>
                <w:color w:val="auto"/>
                <w:spacing w:val="0"/>
                <w:sz w:val="24"/>
                <w:szCs w:val="24"/>
                <w:vertAlign w:val="baseline"/>
                <w:lang w:eastAsia="zh-CN"/>
              </w:rPr>
            </w:pPr>
          </w:p>
        </w:tc>
        <w:tc>
          <w:tcPr>
            <w:tcW w:w="645" w:type="dxa"/>
            <w:vAlign w:val="center"/>
          </w:tcPr>
          <w:p>
            <w:pPr>
              <w:jc w:val="center"/>
              <w:rPr>
                <w:rFonts w:hint="default"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33</w:t>
            </w:r>
          </w:p>
        </w:tc>
        <w:tc>
          <w:tcPr>
            <w:tcW w:w="8963" w:type="dxa"/>
            <w:vAlign w:val="center"/>
          </w:tcPr>
          <w:p>
            <w:pPr>
              <w:jc w:val="both"/>
              <w:rPr>
                <w:rFonts w:hint="eastAsia"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紧扣“青春心向党·建功新时代”主题，抓好“青年大学习”网上主题团课。</w:t>
            </w:r>
          </w:p>
        </w:tc>
        <w:tc>
          <w:tcPr>
            <w:tcW w:w="1695" w:type="dxa"/>
            <w:vAlign w:val="center"/>
          </w:tcPr>
          <w:p>
            <w:pPr>
              <w:jc w:val="center"/>
              <w:rPr>
                <w:rFonts w:hint="eastAsia" w:ascii="仿宋" w:hAnsi="仿宋" w:eastAsia="仿宋" w:cs="仿宋"/>
                <w:color w:val="auto"/>
                <w:spacing w:val="0"/>
                <w:sz w:val="24"/>
                <w:szCs w:val="24"/>
                <w:vertAlign w:val="baseline"/>
                <w:lang w:eastAsia="zh-CN"/>
              </w:rPr>
            </w:pPr>
            <w:r>
              <w:rPr>
                <w:rFonts w:hint="eastAsia" w:ascii="仿宋" w:hAnsi="仿宋" w:eastAsia="仿宋" w:cs="仿宋"/>
                <w:color w:val="auto"/>
                <w:spacing w:val="0"/>
                <w:sz w:val="24"/>
                <w:szCs w:val="24"/>
                <w:vertAlign w:val="baseline"/>
                <w:lang w:val="en-US" w:eastAsia="zh-CN"/>
              </w:rPr>
              <w:t>团委</w:t>
            </w:r>
          </w:p>
        </w:tc>
        <w:tc>
          <w:tcPr>
            <w:tcW w:w="2280" w:type="dxa"/>
            <w:vAlign w:val="center"/>
          </w:tcPr>
          <w:p>
            <w:pPr>
              <w:jc w:val="center"/>
              <w:rPr>
                <w:rFonts w:hint="eastAsia"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各二级学院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85" w:type="dxa"/>
            <w:vMerge w:val="continue"/>
            <w:vAlign w:val="center"/>
          </w:tcPr>
          <w:p>
            <w:pPr>
              <w:jc w:val="center"/>
              <w:rPr>
                <w:rFonts w:hint="eastAsia" w:ascii="仿宋" w:hAnsi="仿宋" w:eastAsia="仿宋" w:cs="仿宋"/>
                <w:color w:val="auto"/>
                <w:spacing w:val="0"/>
                <w:sz w:val="24"/>
                <w:szCs w:val="24"/>
                <w:vertAlign w:val="baseline"/>
                <w:lang w:eastAsia="zh-CN"/>
              </w:rPr>
            </w:pPr>
          </w:p>
        </w:tc>
        <w:tc>
          <w:tcPr>
            <w:tcW w:w="645" w:type="dxa"/>
            <w:vAlign w:val="center"/>
          </w:tcPr>
          <w:p>
            <w:pPr>
              <w:jc w:val="center"/>
              <w:rPr>
                <w:rFonts w:hint="default"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34</w:t>
            </w:r>
          </w:p>
        </w:tc>
        <w:tc>
          <w:tcPr>
            <w:tcW w:w="8963" w:type="dxa"/>
            <w:vAlign w:val="center"/>
          </w:tcPr>
          <w:p>
            <w:pPr>
              <w:jc w:val="both"/>
              <w:rPr>
                <w:rFonts w:hint="eastAsia"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强化基层锻炼和理想信念教育，培养50名校级“青马工程”大学生骨干。</w:t>
            </w:r>
          </w:p>
        </w:tc>
        <w:tc>
          <w:tcPr>
            <w:tcW w:w="1695" w:type="dxa"/>
            <w:vAlign w:val="center"/>
          </w:tcPr>
          <w:p>
            <w:pPr>
              <w:jc w:val="center"/>
              <w:rPr>
                <w:rFonts w:hint="eastAsia" w:ascii="仿宋" w:hAnsi="仿宋" w:eastAsia="仿宋" w:cs="仿宋"/>
                <w:color w:val="auto"/>
                <w:spacing w:val="0"/>
                <w:sz w:val="24"/>
                <w:szCs w:val="24"/>
                <w:vertAlign w:val="baseline"/>
                <w:lang w:eastAsia="zh-CN"/>
              </w:rPr>
            </w:pPr>
            <w:r>
              <w:rPr>
                <w:rFonts w:hint="eastAsia" w:ascii="仿宋" w:hAnsi="仿宋" w:eastAsia="仿宋" w:cs="仿宋"/>
                <w:color w:val="auto"/>
                <w:spacing w:val="0"/>
                <w:sz w:val="24"/>
                <w:szCs w:val="24"/>
                <w:vertAlign w:val="baseline"/>
                <w:lang w:val="en-US" w:eastAsia="zh-CN"/>
              </w:rPr>
              <w:t>团委</w:t>
            </w:r>
          </w:p>
        </w:tc>
        <w:tc>
          <w:tcPr>
            <w:tcW w:w="2280" w:type="dxa"/>
            <w:vAlign w:val="center"/>
          </w:tcPr>
          <w:p>
            <w:pPr>
              <w:jc w:val="center"/>
              <w:rPr>
                <w:rFonts w:hint="eastAsia"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各二级学院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85" w:type="dxa"/>
            <w:vMerge w:val="continue"/>
            <w:vAlign w:val="center"/>
          </w:tcPr>
          <w:p>
            <w:pPr>
              <w:jc w:val="center"/>
              <w:rPr>
                <w:rFonts w:hint="eastAsia" w:ascii="仿宋" w:hAnsi="仿宋" w:eastAsia="仿宋" w:cs="仿宋"/>
                <w:color w:val="auto"/>
                <w:spacing w:val="0"/>
                <w:sz w:val="24"/>
                <w:szCs w:val="24"/>
                <w:vertAlign w:val="baseline"/>
                <w:lang w:eastAsia="zh-CN"/>
              </w:rPr>
            </w:pPr>
          </w:p>
        </w:tc>
        <w:tc>
          <w:tcPr>
            <w:tcW w:w="645" w:type="dxa"/>
            <w:vAlign w:val="center"/>
          </w:tcPr>
          <w:p>
            <w:pPr>
              <w:jc w:val="center"/>
              <w:rPr>
                <w:rFonts w:hint="default"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35</w:t>
            </w:r>
          </w:p>
        </w:tc>
        <w:tc>
          <w:tcPr>
            <w:tcW w:w="8963" w:type="dxa"/>
            <w:vAlign w:val="center"/>
          </w:tcPr>
          <w:p>
            <w:pPr>
              <w:jc w:val="both"/>
              <w:rPr>
                <w:rFonts w:hint="eastAsia"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深入开展“三下乡”“返家乡”红色研学等社会实践活动。</w:t>
            </w:r>
          </w:p>
        </w:tc>
        <w:tc>
          <w:tcPr>
            <w:tcW w:w="1695" w:type="dxa"/>
            <w:vAlign w:val="center"/>
          </w:tcPr>
          <w:p>
            <w:pPr>
              <w:jc w:val="center"/>
              <w:rPr>
                <w:rFonts w:hint="eastAsia" w:ascii="仿宋" w:hAnsi="仿宋" w:eastAsia="仿宋" w:cs="仿宋"/>
                <w:color w:val="auto"/>
                <w:spacing w:val="0"/>
                <w:sz w:val="24"/>
                <w:szCs w:val="24"/>
                <w:vertAlign w:val="baseline"/>
                <w:lang w:eastAsia="zh-CN"/>
              </w:rPr>
            </w:pPr>
            <w:r>
              <w:rPr>
                <w:rFonts w:hint="eastAsia" w:ascii="仿宋" w:hAnsi="仿宋" w:eastAsia="仿宋" w:cs="仿宋"/>
                <w:color w:val="auto"/>
                <w:spacing w:val="0"/>
                <w:sz w:val="24"/>
                <w:szCs w:val="24"/>
                <w:vertAlign w:val="baseline"/>
                <w:lang w:val="en-US" w:eastAsia="zh-CN"/>
              </w:rPr>
              <w:t>团委</w:t>
            </w:r>
          </w:p>
        </w:tc>
        <w:tc>
          <w:tcPr>
            <w:tcW w:w="2280" w:type="dxa"/>
            <w:vAlign w:val="center"/>
          </w:tcPr>
          <w:p>
            <w:pPr>
              <w:jc w:val="center"/>
              <w:rPr>
                <w:rFonts w:hint="eastAsia"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各二级学院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85" w:type="dxa"/>
            <w:vMerge w:val="continue"/>
            <w:vAlign w:val="center"/>
          </w:tcPr>
          <w:p>
            <w:pPr>
              <w:jc w:val="center"/>
              <w:rPr>
                <w:rFonts w:hint="eastAsia" w:ascii="仿宋" w:hAnsi="仿宋" w:eastAsia="仿宋" w:cs="仿宋"/>
                <w:color w:val="auto"/>
                <w:spacing w:val="0"/>
                <w:sz w:val="24"/>
                <w:szCs w:val="24"/>
                <w:vertAlign w:val="baseline"/>
                <w:lang w:eastAsia="zh-CN"/>
              </w:rPr>
            </w:pPr>
          </w:p>
        </w:tc>
        <w:tc>
          <w:tcPr>
            <w:tcW w:w="645" w:type="dxa"/>
            <w:vAlign w:val="center"/>
          </w:tcPr>
          <w:p>
            <w:pPr>
              <w:jc w:val="center"/>
              <w:rPr>
                <w:rFonts w:hint="default"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36</w:t>
            </w:r>
          </w:p>
        </w:tc>
        <w:tc>
          <w:tcPr>
            <w:tcW w:w="8963" w:type="dxa"/>
            <w:vAlign w:val="center"/>
          </w:tcPr>
          <w:p>
            <w:pPr>
              <w:jc w:val="both"/>
              <w:rPr>
                <w:rFonts w:hint="eastAsia"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持续深化学生会改革，完善学生社团建设管理机制。</w:t>
            </w:r>
          </w:p>
        </w:tc>
        <w:tc>
          <w:tcPr>
            <w:tcW w:w="1695" w:type="dxa"/>
            <w:vAlign w:val="center"/>
          </w:tcPr>
          <w:p>
            <w:pPr>
              <w:jc w:val="center"/>
              <w:rPr>
                <w:rFonts w:hint="eastAsia" w:ascii="仿宋" w:hAnsi="仿宋" w:eastAsia="仿宋" w:cs="仿宋"/>
                <w:color w:val="auto"/>
                <w:spacing w:val="0"/>
                <w:sz w:val="24"/>
                <w:szCs w:val="24"/>
                <w:vertAlign w:val="baseline"/>
                <w:lang w:eastAsia="zh-CN"/>
              </w:rPr>
            </w:pPr>
            <w:r>
              <w:rPr>
                <w:rFonts w:hint="eastAsia" w:ascii="仿宋" w:hAnsi="仿宋" w:eastAsia="仿宋" w:cs="仿宋"/>
                <w:color w:val="auto"/>
                <w:spacing w:val="0"/>
                <w:sz w:val="24"/>
                <w:szCs w:val="24"/>
                <w:vertAlign w:val="baseline"/>
                <w:lang w:val="en-US" w:eastAsia="zh-CN"/>
              </w:rPr>
              <w:t>团委</w:t>
            </w:r>
          </w:p>
        </w:tc>
        <w:tc>
          <w:tcPr>
            <w:tcW w:w="2280" w:type="dxa"/>
            <w:vAlign w:val="center"/>
          </w:tcPr>
          <w:p>
            <w:pPr>
              <w:jc w:val="center"/>
              <w:rPr>
                <w:rFonts w:hint="eastAsia"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学工部</w:t>
            </w:r>
          </w:p>
          <w:p>
            <w:pPr>
              <w:jc w:val="center"/>
              <w:rPr>
                <w:rFonts w:hint="eastAsia"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各二级学院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85" w:type="dxa"/>
            <w:vMerge w:val="continue"/>
            <w:vAlign w:val="center"/>
          </w:tcPr>
          <w:p>
            <w:pPr>
              <w:jc w:val="center"/>
              <w:rPr>
                <w:rFonts w:hint="eastAsia" w:ascii="仿宋" w:hAnsi="仿宋" w:eastAsia="仿宋" w:cs="仿宋"/>
                <w:color w:val="auto"/>
                <w:spacing w:val="0"/>
                <w:sz w:val="24"/>
                <w:szCs w:val="24"/>
                <w:vertAlign w:val="baseline"/>
                <w:lang w:eastAsia="zh-CN"/>
              </w:rPr>
            </w:pPr>
          </w:p>
        </w:tc>
        <w:tc>
          <w:tcPr>
            <w:tcW w:w="645" w:type="dxa"/>
            <w:vAlign w:val="center"/>
          </w:tcPr>
          <w:p>
            <w:pPr>
              <w:jc w:val="center"/>
              <w:rPr>
                <w:rFonts w:hint="default"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37</w:t>
            </w:r>
          </w:p>
        </w:tc>
        <w:tc>
          <w:tcPr>
            <w:tcW w:w="8963" w:type="dxa"/>
            <w:vAlign w:val="center"/>
          </w:tcPr>
          <w:p>
            <w:pPr>
              <w:jc w:val="both"/>
              <w:rPr>
                <w:rFonts w:hint="eastAsia"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继续举办好“微团课”大赛，健全完善“第二课程成绩单”制度，推动共青团改革往深里走、往实里走。</w:t>
            </w:r>
          </w:p>
        </w:tc>
        <w:tc>
          <w:tcPr>
            <w:tcW w:w="1695" w:type="dxa"/>
            <w:vAlign w:val="center"/>
          </w:tcPr>
          <w:p>
            <w:pPr>
              <w:jc w:val="center"/>
              <w:rPr>
                <w:rFonts w:hint="eastAsia" w:ascii="仿宋" w:hAnsi="仿宋" w:eastAsia="仿宋" w:cs="仿宋"/>
                <w:color w:val="auto"/>
                <w:spacing w:val="0"/>
                <w:sz w:val="24"/>
                <w:szCs w:val="24"/>
                <w:vertAlign w:val="baseline"/>
                <w:lang w:eastAsia="zh-CN"/>
              </w:rPr>
            </w:pPr>
            <w:r>
              <w:rPr>
                <w:rFonts w:hint="eastAsia" w:ascii="仿宋" w:hAnsi="仿宋" w:eastAsia="仿宋" w:cs="仿宋"/>
                <w:color w:val="auto"/>
                <w:spacing w:val="0"/>
                <w:sz w:val="24"/>
                <w:szCs w:val="24"/>
                <w:vertAlign w:val="baseline"/>
                <w:lang w:val="en-US" w:eastAsia="zh-CN"/>
              </w:rPr>
              <w:t>团委</w:t>
            </w:r>
          </w:p>
        </w:tc>
        <w:tc>
          <w:tcPr>
            <w:tcW w:w="2280" w:type="dxa"/>
            <w:vAlign w:val="center"/>
          </w:tcPr>
          <w:p>
            <w:pPr>
              <w:jc w:val="center"/>
              <w:rPr>
                <w:rFonts w:hint="eastAsia"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各二级学院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85" w:type="dxa"/>
            <w:vMerge w:val="restart"/>
            <w:vAlign w:val="center"/>
          </w:tcPr>
          <w:p>
            <w:pPr>
              <w:jc w:val="center"/>
              <w:rPr>
                <w:rFonts w:hint="eastAsia" w:ascii="仿宋" w:hAnsi="仿宋" w:eastAsia="仿宋" w:cs="仿宋"/>
                <w:color w:val="auto"/>
                <w:spacing w:val="0"/>
                <w:sz w:val="24"/>
                <w:szCs w:val="24"/>
                <w:vertAlign w:val="baseline"/>
                <w:lang w:eastAsia="zh-CN"/>
              </w:rPr>
            </w:pPr>
            <w:r>
              <w:rPr>
                <w:rFonts w:hint="eastAsia" w:ascii="仿宋" w:hAnsi="仿宋" w:eastAsia="仿宋" w:cs="仿宋"/>
                <w:color w:val="auto"/>
                <w:spacing w:val="0"/>
                <w:sz w:val="24"/>
                <w:szCs w:val="24"/>
                <w:vertAlign w:val="baseline"/>
                <w:lang w:val="en-US" w:eastAsia="zh-CN"/>
              </w:rPr>
              <w:t>（十）深化毕业生就业创业工作</w:t>
            </w:r>
          </w:p>
        </w:tc>
        <w:tc>
          <w:tcPr>
            <w:tcW w:w="645" w:type="dxa"/>
            <w:vAlign w:val="center"/>
          </w:tcPr>
          <w:p>
            <w:pPr>
              <w:jc w:val="center"/>
              <w:rPr>
                <w:rFonts w:hint="default"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38</w:t>
            </w:r>
          </w:p>
        </w:tc>
        <w:tc>
          <w:tcPr>
            <w:tcW w:w="8963" w:type="dxa"/>
            <w:vAlign w:val="center"/>
          </w:tcPr>
          <w:p>
            <w:pPr>
              <w:jc w:val="both"/>
              <w:rPr>
                <w:rFonts w:hint="eastAsia"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组织参加第八届江西省“互联网+”大学生创新创业大赛暨全国大赛选拔赛、全国“青年红色筑梦之旅”江西对接活动、“挑战杯”大学生创业竞赛。</w:t>
            </w:r>
          </w:p>
        </w:tc>
        <w:tc>
          <w:tcPr>
            <w:tcW w:w="1695" w:type="dxa"/>
            <w:vAlign w:val="center"/>
          </w:tcPr>
          <w:p>
            <w:pPr>
              <w:jc w:val="center"/>
              <w:rPr>
                <w:rFonts w:hint="default"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产教融合处</w:t>
            </w:r>
          </w:p>
        </w:tc>
        <w:tc>
          <w:tcPr>
            <w:tcW w:w="2280" w:type="dxa"/>
            <w:vAlign w:val="center"/>
          </w:tcPr>
          <w:p>
            <w:pPr>
              <w:jc w:val="center"/>
              <w:rPr>
                <w:rFonts w:hint="eastAsia"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各二级学院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8" w:hRule="atLeast"/>
        </w:trPr>
        <w:tc>
          <w:tcPr>
            <w:tcW w:w="1185" w:type="dxa"/>
            <w:vMerge w:val="continue"/>
            <w:vAlign w:val="center"/>
          </w:tcPr>
          <w:p>
            <w:pPr>
              <w:jc w:val="center"/>
              <w:rPr>
                <w:rFonts w:hint="eastAsia" w:ascii="仿宋" w:hAnsi="仿宋" w:eastAsia="仿宋" w:cs="仿宋"/>
                <w:color w:val="auto"/>
                <w:spacing w:val="0"/>
                <w:sz w:val="24"/>
                <w:szCs w:val="24"/>
                <w:vertAlign w:val="baseline"/>
                <w:lang w:eastAsia="zh-CN"/>
              </w:rPr>
            </w:pPr>
          </w:p>
        </w:tc>
        <w:tc>
          <w:tcPr>
            <w:tcW w:w="645" w:type="dxa"/>
            <w:vAlign w:val="center"/>
          </w:tcPr>
          <w:p>
            <w:pPr>
              <w:jc w:val="center"/>
              <w:rPr>
                <w:rFonts w:hint="default"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39</w:t>
            </w:r>
          </w:p>
        </w:tc>
        <w:tc>
          <w:tcPr>
            <w:tcW w:w="8963" w:type="dxa"/>
            <w:vAlign w:val="center"/>
          </w:tcPr>
          <w:p>
            <w:pPr>
              <w:jc w:val="both"/>
              <w:rPr>
                <w:rFonts w:hint="eastAsia"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抓实2022届毕业生就业工作，加强大学生就业思政建设，推进“个十百千万”工程，完善优化企业库建设，拓宽毕业生就业渠道，确保2022届毕业生半年后就业率不低于90%，留赣就业率不低于60%，就业对口率不低于70%。落实“千校万岗”大中专学生就业精准帮扶行动，重点帮扶就业困难毕业生群体，确保高质量并完成年度就业工作。</w:t>
            </w:r>
          </w:p>
        </w:tc>
        <w:tc>
          <w:tcPr>
            <w:tcW w:w="1695" w:type="dxa"/>
            <w:vAlign w:val="center"/>
          </w:tcPr>
          <w:p>
            <w:pPr>
              <w:jc w:val="center"/>
              <w:rPr>
                <w:rFonts w:hint="eastAsia" w:ascii="仿宋" w:hAnsi="仿宋" w:eastAsia="仿宋" w:cs="仿宋"/>
                <w:color w:val="auto"/>
                <w:spacing w:val="0"/>
                <w:sz w:val="24"/>
                <w:szCs w:val="24"/>
                <w:vertAlign w:val="baseline"/>
                <w:lang w:eastAsia="zh-CN"/>
              </w:rPr>
            </w:pPr>
            <w:r>
              <w:rPr>
                <w:rFonts w:hint="eastAsia" w:ascii="仿宋" w:hAnsi="仿宋" w:eastAsia="仿宋" w:cs="仿宋"/>
                <w:color w:val="auto"/>
                <w:spacing w:val="0"/>
                <w:sz w:val="24"/>
                <w:szCs w:val="24"/>
                <w:vertAlign w:val="baseline"/>
                <w:lang w:val="en-US" w:eastAsia="zh-CN"/>
              </w:rPr>
              <w:t>产教融合处</w:t>
            </w:r>
          </w:p>
        </w:tc>
        <w:tc>
          <w:tcPr>
            <w:tcW w:w="2280" w:type="dxa"/>
            <w:vAlign w:val="center"/>
          </w:tcPr>
          <w:p>
            <w:pPr>
              <w:jc w:val="center"/>
              <w:rPr>
                <w:rFonts w:hint="eastAsia"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团委</w:t>
            </w:r>
          </w:p>
          <w:p>
            <w:pPr>
              <w:jc w:val="center"/>
              <w:rPr>
                <w:rFonts w:hint="eastAsia"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各二级学院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68" w:type="dxa"/>
            <w:gridSpan w:val="5"/>
            <w:vAlign w:val="center"/>
          </w:tcPr>
          <w:p>
            <w:pPr>
              <w:jc w:val="center"/>
              <w:rPr>
                <w:rFonts w:hint="eastAsia" w:ascii="仿宋" w:hAnsi="仿宋" w:eastAsia="仿宋" w:cs="仿宋"/>
                <w:color w:val="auto"/>
                <w:spacing w:val="0"/>
                <w:sz w:val="24"/>
                <w:szCs w:val="24"/>
                <w:vertAlign w:val="baseline"/>
                <w:lang w:val="en-US" w:eastAsia="zh-CN"/>
              </w:rPr>
            </w:pPr>
            <w:r>
              <w:rPr>
                <w:rFonts w:hint="eastAsia" w:ascii="黑体" w:hAnsi="黑体" w:eastAsia="黑体" w:cs="黑体"/>
                <w:color w:val="auto"/>
                <w:spacing w:val="0"/>
                <w:sz w:val="24"/>
                <w:szCs w:val="24"/>
                <w:vertAlign w:val="baseline"/>
                <w:lang w:val="en-US" w:eastAsia="zh-CN"/>
              </w:rPr>
              <w:t>三、强化提质培优，打造教学标志性成果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85" w:type="dxa"/>
            <w:vMerge w:val="restart"/>
            <w:vAlign w:val="center"/>
          </w:tcPr>
          <w:p>
            <w:pPr>
              <w:jc w:val="center"/>
              <w:rPr>
                <w:rFonts w:hint="eastAsia" w:ascii="仿宋" w:hAnsi="仿宋" w:eastAsia="仿宋" w:cs="仿宋"/>
                <w:color w:val="auto"/>
                <w:spacing w:val="0"/>
                <w:sz w:val="24"/>
                <w:szCs w:val="24"/>
                <w:vertAlign w:val="baseline"/>
                <w:lang w:eastAsia="zh-CN"/>
              </w:rPr>
            </w:pPr>
            <w:r>
              <w:rPr>
                <w:rFonts w:hint="eastAsia" w:ascii="仿宋" w:hAnsi="仿宋" w:eastAsia="仿宋" w:cs="仿宋"/>
                <w:color w:val="auto"/>
                <w:spacing w:val="0"/>
                <w:sz w:val="24"/>
                <w:szCs w:val="24"/>
                <w:vertAlign w:val="baseline"/>
                <w:lang w:val="en-US" w:eastAsia="zh-CN"/>
              </w:rPr>
              <w:t>（十一）加快融入全省职教高地建设</w:t>
            </w:r>
          </w:p>
        </w:tc>
        <w:tc>
          <w:tcPr>
            <w:tcW w:w="645" w:type="dxa"/>
            <w:vAlign w:val="center"/>
          </w:tcPr>
          <w:p>
            <w:pPr>
              <w:jc w:val="center"/>
              <w:rPr>
                <w:rFonts w:hint="default"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40</w:t>
            </w:r>
          </w:p>
        </w:tc>
        <w:tc>
          <w:tcPr>
            <w:tcW w:w="8963" w:type="dxa"/>
            <w:vAlign w:val="center"/>
          </w:tcPr>
          <w:p>
            <w:pPr>
              <w:jc w:val="both"/>
              <w:rPr>
                <w:rFonts w:hint="eastAsia"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紧密对接本科合作院校，落实5个优势特色专业联合培养职教专升本协议方案。</w:t>
            </w:r>
          </w:p>
        </w:tc>
        <w:tc>
          <w:tcPr>
            <w:tcW w:w="1695" w:type="dxa"/>
            <w:vAlign w:val="center"/>
          </w:tcPr>
          <w:p>
            <w:pPr>
              <w:jc w:val="center"/>
              <w:rPr>
                <w:rFonts w:hint="default"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教务处</w:t>
            </w:r>
          </w:p>
        </w:tc>
        <w:tc>
          <w:tcPr>
            <w:tcW w:w="2280" w:type="dxa"/>
            <w:vAlign w:val="center"/>
          </w:tcPr>
          <w:p>
            <w:pPr>
              <w:jc w:val="center"/>
              <w:rPr>
                <w:rFonts w:hint="eastAsia"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旅游学院、经济管理学院、</w:t>
            </w:r>
            <w:r>
              <w:rPr>
                <w:rFonts w:hint="eastAsia" w:ascii="仿宋" w:hAnsi="仿宋" w:eastAsia="仿宋" w:cs="仿宋"/>
                <w:color w:val="auto"/>
                <w:spacing w:val="-17"/>
                <w:sz w:val="24"/>
                <w:szCs w:val="24"/>
                <w:vertAlign w:val="baseline"/>
                <w:lang w:val="en-US" w:eastAsia="zh-CN"/>
              </w:rPr>
              <w:t>会计金融学院</w:t>
            </w:r>
            <w:r>
              <w:rPr>
                <w:rFonts w:hint="eastAsia" w:ascii="仿宋" w:hAnsi="仿宋" w:eastAsia="仿宋" w:cs="仿宋"/>
                <w:color w:val="auto"/>
                <w:spacing w:val="0"/>
                <w:sz w:val="24"/>
                <w:szCs w:val="24"/>
                <w:vertAlign w:val="baseline"/>
                <w:lang w:val="en-US" w:eastAsia="zh-CN"/>
              </w:rPr>
              <w:t>国际商务学院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85" w:type="dxa"/>
            <w:vMerge w:val="continue"/>
            <w:vAlign w:val="center"/>
          </w:tcPr>
          <w:p>
            <w:pPr>
              <w:jc w:val="center"/>
              <w:rPr>
                <w:rFonts w:hint="eastAsia" w:ascii="仿宋" w:hAnsi="仿宋" w:eastAsia="仿宋" w:cs="仿宋"/>
                <w:color w:val="auto"/>
                <w:spacing w:val="0"/>
                <w:sz w:val="24"/>
                <w:szCs w:val="24"/>
                <w:vertAlign w:val="baseline"/>
                <w:lang w:eastAsia="zh-CN"/>
              </w:rPr>
            </w:pPr>
          </w:p>
        </w:tc>
        <w:tc>
          <w:tcPr>
            <w:tcW w:w="645" w:type="dxa"/>
            <w:vAlign w:val="center"/>
          </w:tcPr>
          <w:p>
            <w:pPr>
              <w:jc w:val="center"/>
              <w:rPr>
                <w:rFonts w:hint="default"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41</w:t>
            </w:r>
          </w:p>
        </w:tc>
        <w:tc>
          <w:tcPr>
            <w:tcW w:w="8963" w:type="dxa"/>
            <w:vAlign w:val="center"/>
          </w:tcPr>
          <w:p>
            <w:pPr>
              <w:jc w:val="both"/>
              <w:rPr>
                <w:rFonts w:hint="eastAsia"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潜心优化、打造职教本科专业，对照本科办学条件，找差距、补短板，其中“行业企业一线的兼职教师承担课时占比”指标不低于20%，推动本科层次职业教育稳步发展。</w:t>
            </w:r>
          </w:p>
        </w:tc>
        <w:tc>
          <w:tcPr>
            <w:tcW w:w="1695" w:type="dxa"/>
            <w:vAlign w:val="center"/>
          </w:tcPr>
          <w:p>
            <w:pPr>
              <w:jc w:val="center"/>
              <w:rPr>
                <w:rFonts w:hint="eastAsia" w:ascii="仿宋" w:hAnsi="仿宋" w:eastAsia="仿宋" w:cs="仿宋"/>
                <w:color w:val="auto"/>
                <w:spacing w:val="0"/>
                <w:sz w:val="24"/>
                <w:szCs w:val="24"/>
                <w:vertAlign w:val="baseline"/>
                <w:lang w:eastAsia="zh-CN"/>
              </w:rPr>
            </w:pPr>
            <w:r>
              <w:rPr>
                <w:rFonts w:hint="eastAsia" w:ascii="仿宋" w:hAnsi="仿宋" w:eastAsia="仿宋" w:cs="仿宋"/>
                <w:color w:val="auto"/>
                <w:spacing w:val="0"/>
                <w:sz w:val="24"/>
                <w:szCs w:val="24"/>
                <w:vertAlign w:val="baseline"/>
                <w:lang w:val="en-US" w:eastAsia="zh-CN"/>
              </w:rPr>
              <w:t>教务处</w:t>
            </w:r>
          </w:p>
        </w:tc>
        <w:tc>
          <w:tcPr>
            <w:tcW w:w="2280" w:type="dxa"/>
            <w:vAlign w:val="center"/>
          </w:tcPr>
          <w:p>
            <w:pPr>
              <w:jc w:val="center"/>
              <w:rPr>
                <w:rFonts w:hint="eastAsia"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各二级学院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85" w:type="dxa"/>
            <w:vMerge w:val="continue"/>
            <w:vAlign w:val="center"/>
          </w:tcPr>
          <w:p>
            <w:pPr>
              <w:jc w:val="center"/>
              <w:rPr>
                <w:rFonts w:hint="eastAsia" w:ascii="仿宋" w:hAnsi="仿宋" w:eastAsia="仿宋" w:cs="仿宋"/>
                <w:color w:val="auto"/>
                <w:spacing w:val="0"/>
                <w:sz w:val="24"/>
                <w:szCs w:val="24"/>
                <w:vertAlign w:val="baseline"/>
                <w:lang w:eastAsia="zh-CN"/>
              </w:rPr>
            </w:pPr>
          </w:p>
        </w:tc>
        <w:tc>
          <w:tcPr>
            <w:tcW w:w="645" w:type="dxa"/>
            <w:vAlign w:val="center"/>
          </w:tcPr>
          <w:p>
            <w:pPr>
              <w:jc w:val="center"/>
              <w:rPr>
                <w:rFonts w:hint="default"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42</w:t>
            </w:r>
          </w:p>
        </w:tc>
        <w:tc>
          <w:tcPr>
            <w:tcW w:w="8963" w:type="dxa"/>
            <w:vAlign w:val="center"/>
          </w:tcPr>
          <w:p>
            <w:pPr>
              <w:jc w:val="both"/>
              <w:rPr>
                <w:rFonts w:hint="eastAsia"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高标准推进国家职业教育虚拟仿真实训基地建设，</w:t>
            </w:r>
            <w:r>
              <w:rPr>
                <w:rFonts w:hint="eastAsia" w:ascii="仿宋" w:hAnsi="仿宋" w:eastAsia="仿宋" w:cs="仿宋"/>
                <w:color w:val="auto"/>
                <w:spacing w:val="0"/>
                <w:sz w:val="24"/>
                <w:szCs w:val="24"/>
                <w:vertAlign w:val="baseline"/>
                <w:lang w:eastAsia="zh-CN"/>
              </w:rPr>
              <w:t>加快完成旅游管理和导游专业虚拟仿真实训教学设计的落地工作，并申请</w:t>
            </w:r>
            <w:r>
              <w:rPr>
                <w:rFonts w:hint="eastAsia" w:ascii="仿宋" w:hAnsi="仿宋" w:eastAsia="仿宋" w:cs="仿宋"/>
                <w:color w:val="auto"/>
                <w:spacing w:val="0"/>
                <w:sz w:val="24"/>
                <w:szCs w:val="24"/>
                <w:vertAlign w:val="baseline"/>
                <w:lang w:val="en-US" w:eastAsia="zh-CN"/>
              </w:rPr>
              <w:t>纳入职业教育示范性虚拟仿真实训基地培育项目建设监测平台，</w:t>
            </w:r>
            <w:r>
              <w:rPr>
                <w:rFonts w:hint="eastAsia" w:ascii="仿宋" w:hAnsi="仿宋" w:eastAsia="仿宋" w:cs="仿宋"/>
                <w:color w:val="auto"/>
                <w:spacing w:val="0"/>
                <w:sz w:val="24"/>
                <w:szCs w:val="24"/>
                <w:vertAlign w:val="baseline"/>
                <w:lang w:eastAsia="zh-CN"/>
              </w:rPr>
              <w:t>积极推进成果转化，</w:t>
            </w:r>
            <w:r>
              <w:rPr>
                <w:rFonts w:hint="eastAsia" w:ascii="仿宋" w:hAnsi="仿宋" w:eastAsia="仿宋" w:cs="仿宋"/>
                <w:color w:val="auto"/>
                <w:spacing w:val="0"/>
                <w:sz w:val="24"/>
                <w:szCs w:val="24"/>
                <w:vertAlign w:val="baseline"/>
                <w:lang w:val="en-US" w:eastAsia="zh-CN"/>
              </w:rPr>
              <w:t>申报课题、培育教学成果奖。</w:t>
            </w:r>
          </w:p>
        </w:tc>
        <w:tc>
          <w:tcPr>
            <w:tcW w:w="1695" w:type="dxa"/>
            <w:vAlign w:val="center"/>
          </w:tcPr>
          <w:p>
            <w:pPr>
              <w:jc w:val="center"/>
              <w:rPr>
                <w:rFonts w:hint="default"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旅游学院</w:t>
            </w:r>
          </w:p>
        </w:tc>
        <w:tc>
          <w:tcPr>
            <w:tcW w:w="2280" w:type="dxa"/>
            <w:vAlign w:val="center"/>
          </w:tcPr>
          <w:p>
            <w:pPr>
              <w:jc w:val="center"/>
              <w:rPr>
                <w:rFonts w:hint="eastAsia"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教务处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85" w:type="dxa"/>
            <w:vMerge w:val="continue"/>
            <w:vAlign w:val="center"/>
          </w:tcPr>
          <w:p>
            <w:pPr>
              <w:jc w:val="center"/>
              <w:rPr>
                <w:rFonts w:hint="eastAsia" w:ascii="仿宋" w:hAnsi="仿宋" w:eastAsia="仿宋" w:cs="仿宋"/>
                <w:color w:val="auto"/>
                <w:spacing w:val="0"/>
                <w:sz w:val="24"/>
                <w:szCs w:val="24"/>
                <w:vertAlign w:val="baseline"/>
                <w:lang w:eastAsia="zh-CN"/>
              </w:rPr>
            </w:pPr>
          </w:p>
        </w:tc>
        <w:tc>
          <w:tcPr>
            <w:tcW w:w="645" w:type="dxa"/>
            <w:vAlign w:val="center"/>
          </w:tcPr>
          <w:p>
            <w:pPr>
              <w:jc w:val="center"/>
              <w:rPr>
                <w:rFonts w:hint="default"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43</w:t>
            </w:r>
          </w:p>
        </w:tc>
        <w:tc>
          <w:tcPr>
            <w:tcW w:w="8963" w:type="dxa"/>
            <w:vAlign w:val="center"/>
          </w:tcPr>
          <w:p>
            <w:pPr>
              <w:jc w:val="both"/>
              <w:rPr>
                <w:rFonts w:hint="eastAsia"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牵头抓好全省职业教育服务产业发展信息化平台建设，</w:t>
            </w:r>
            <w:bookmarkStart w:id="0" w:name="_GoBack"/>
            <w:bookmarkEnd w:id="0"/>
            <w:r>
              <w:rPr>
                <w:rFonts w:hint="eastAsia" w:ascii="仿宋" w:hAnsi="仿宋" w:eastAsia="仿宋" w:cs="仿宋"/>
                <w:color w:val="auto"/>
                <w:spacing w:val="0"/>
                <w:sz w:val="24"/>
                <w:szCs w:val="24"/>
                <w:vertAlign w:val="baseline"/>
                <w:lang w:val="en-US" w:eastAsia="zh-CN"/>
              </w:rPr>
              <w:t>编制江西省急需紧缺职业（岗位）目录。</w:t>
            </w:r>
          </w:p>
        </w:tc>
        <w:tc>
          <w:tcPr>
            <w:tcW w:w="1695" w:type="dxa"/>
            <w:vAlign w:val="center"/>
          </w:tcPr>
          <w:p>
            <w:pPr>
              <w:jc w:val="center"/>
              <w:rPr>
                <w:rFonts w:hint="eastAsia" w:ascii="仿宋" w:hAnsi="仿宋" w:eastAsia="仿宋" w:cs="仿宋"/>
                <w:color w:val="auto"/>
                <w:spacing w:val="0"/>
                <w:sz w:val="24"/>
                <w:szCs w:val="24"/>
                <w:vertAlign w:val="baseline"/>
                <w:lang w:eastAsia="zh-CN"/>
              </w:rPr>
            </w:pPr>
            <w:r>
              <w:rPr>
                <w:rFonts w:hint="eastAsia" w:ascii="仿宋" w:hAnsi="仿宋" w:eastAsia="仿宋" w:cs="仿宋"/>
                <w:color w:val="auto"/>
                <w:spacing w:val="0"/>
                <w:sz w:val="24"/>
                <w:szCs w:val="24"/>
                <w:vertAlign w:val="baseline"/>
                <w:lang w:val="en-US" w:eastAsia="zh-CN"/>
              </w:rPr>
              <w:t>产教融合处</w:t>
            </w:r>
          </w:p>
        </w:tc>
        <w:tc>
          <w:tcPr>
            <w:tcW w:w="2280" w:type="dxa"/>
            <w:vAlign w:val="center"/>
          </w:tcPr>
          <w:p>
            <w:pPr>
              <w:jc w:val="center"/>
              <w:rPr>
                <w:rFonts w:hint="eastAsia"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各二级学院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85" w:type="dxa"/>
            <w:vMerge w:val="continue"/>
            <w:vAlign w:val="center"/>
          </w:tcPr>
          <w:p>
            <w:pPr>
              <w:jc w:val="center"/>
              <w:rPr>
                <w:rFonts w:hint="eastAsia" w:ascii="仿宋" w:hAnsi="仿宋" w:eastAsia="仿宋" w:cs="仿宋"/>
                <w:color w:val="auto"/>
                <w:spacing w:val="0"/>
                <w:sz w:val="24"/>
                <w:szCs w:val="24"/>
                <w:vertAlign w:val="baseline"/>
                <w:lang w:eastAsia="zh-CN"/>
              </w:rPr>
            </w:pPr>
          </w:p>
        </w:tc>
        <w:tc>
          <w:tcPr>
            <w:tcW w:w="645" w:type="dxa"/>
            <w:vAlign w:val="center"/>
          </w:tcPr>
          <w:p>
            <w:pPr>
              <w:jc w:val="center"/>
              <w:rPr>
                <w:rFonts w:hint="eastAsia"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44</w:t>
            </w:r>
          </w:p>
        </w:tc>
        <w:tc>
          <w:tcPr>
            <w:tcW w:w="8963" w:type="dxa"/>
            <w:vAlign w:val="center"/>
          </w:tcPr>
          <w:p>
            <w:pPr>
              <w:jc w:val="both"/>
              <w:rPr>
                <w:rFonts w:hint="eastAsia"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对接中国革命老区职业教育与产业发展研究院建设。</w:t>
            </w:r>
          </w:p>
        </w:tc>
        <w:tc>
          <w:tcPr>
            <w:tcW w:w="1695" w:type="dxa"/>
            <w:vAlign w:val="center"/>
          </w:tcPr>
          <w:p>
            <w:pPr>
              <w:jc w:val="center"/>
              <w:rPr>
                <w:rFonts w:hint="eastAsia"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产教融合处</w:t>
            </w:r>
          </w:p>
        </w:tc>
        <w:tc>
          <w:tcPr>
            <w:tcW w:w="2280" w:type="dxa"/>
            <w:vAlign w:val="center"/>
          </w:tcPr>
          <w:p>
            <w:pPr>
              <w:jc w:val="center"/>
              <w:rPr>
                <w:rFonts w:hint="eastAsia"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各二级学院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85" w:type="dxa"/>
            <w:vMerge w:val="continue"/>
            <w:vAlign w:val="center"/>
          </w:tcPr>
          <w:p>
            <w:pPr>
              <w:jc w:val="center"/>
              <w:rPr>
                <w:rFonts w:hint="eastAsia" w:ascii="仿宋" w:hAnsi="仿宋" w:eastAsia="仿宋" w:cs="仿宋"/>
                <w:color w:val="auto"/>
                <w:spacing w:val="0"/>
                <w:sz w:val="24"/>
                <w:szCs w:val="24"/>
                <w:vertAlign w:val="baseline"/>
                <w:lang w:eastAsia="zh-CN"/>
              </w:rPr>
            </w:pPr>
          </w:p>
        </w:tc>
        <w:tc>
          <w:tcPr>
            <w:tcW w:w="645" w:type="dxa"/>
            <w:vAlign w:val="center"/>
          </w:tcPr>
          <w:p>
            <w:pPr>
              <w:jc w:val="center"/>
              <w:rPr>
                <w:rFonts w:hint="default"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45</w:t>
            </w:r>
          </w:p>
        </w:tc>
        <w:tc>
          <w:tcPr>
            <w:tcW w:w="8963" w:type="dxa"/>
            <w:vAlign w:val="center"/>
          </w:tcPr>
          <w:p>
            <w:pPr>
              <w:jc w:val="both"/>
              <w:rPr>
                <w:rFonts w:hint="default"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对接职业教育红色文化课程研究中心建设。</w:t>
            </w:r>
          </w:p>
        </w:tc>
        <w:tc>
          <w:tcPr>
            <w:tcW w:w="1695" w:type="dxa"/>
            <w:vAlign w:val="center"/>
          </w:tcPr>
          <w:p>
            <w:pPr>
              <w:jc w:val="center"/>
              <w:rPr>
                <w:rFonts w:hint="eastAsia"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17"/>
                <w:sz w:val="24"/>
                <w:szCs w:val="24"/>
                <w:vertAlign w:val="baseline"/>
                <w:lang w:val="en-US" w:eastAsia="zh-CN"/>
              </w:rPr>
              <w:t>马克思主义学院</w:t>
            </w:r>
          </w:p>
        </w:tc>
        <w:tc>
          <w:tcPr>
            <w:tcW w:w="2280" w:type="dxa"/>
            <w:vAlign w:val="center"/>
          </w:tcPr>
          <w:p>
            <w:pPr>
              <w:jc w:val="center"/>
              <w:rPr>
                <w:rFonts w:hint="eastAsia"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教务处</w:t>
            </w:r>
          </w:p>
          <w:p>
            <w:pPr>
              <w:jc w:val="center"/>
              <w:rPr>
                <w:rFonts w:hint="eastAsia"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各二级学院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85" w:type="dxa"/>
            <w:vMerge w:val="continue"/>
            <w:vAlign w:val="center"/>
          </w:tcPr>
          <w:p>
            <w:pPr>
              <w:jc w:val="center"/>
              <w:rPr>
                <w:rFonts w:hint="eastAsia" w:ascii="仿宋" w:hAnsi="仿宋" w:eastAsia="仿宋" w:cs="仿宋"/>
                <w:color w:val="auto"/>
                <w:spacing w:val="0"/>
                <w:sz w:val="24"/>
                <w:szCs w:val="24"/>
                <w:vertAlign w:val="baseline"/>
                <w:lang w:eastAsia="zh-CN"/>
              </w:rPr>
            </w:pPr>
          </w:p>
        </w:tc>
        <w:tc>
          <w:tcPr>
            <w:tcW w:w="645" w:type="dxa"/>
            <w:vAlign w:val="center"/>
          </w:tcPr>
          <w:p>
            <w:pPr>
              <w:jc w:val="center"/>
              <w:rPr>
                <w:rFonts w:hint="default"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46</w:t>
            </w:r>
          </w:p>
        </w:tc>
        <w:tc>
          <w:tcPr>
            <w:tcW w:w="8963" w:type="dxa"/>
            <w:vAlign w:val="center"/>
          </w:tcPr>
          <w:p>
            <w:pPr>
              <w:jc w:val="both"/>
              <w:rPr>
                <w:rFonts w:hint="eastAsia"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健全校企合作管理制度，推进“3+3”校企合作模式，广泛开展现代学徒制和新型学徒制人才培养，构建校企命运共同体。发挥旅游职教集团和供销职教集团平台优势，推动混合所有制办学，做实产业学院，遴选申报全省产教融合型实训基地。</w:t>
            </w:r>
          </w:p>
        </w:tc>
        <w:tc>
          <w:tcPr>
            <w:tcW w:w="1695" w:type="dxa"/>
            <w:vAlign w:val="center"/>
          </w:tcPr>
          <w:p>
            <w:pPr>
              <w:jc w:val="center"/>
              <w:rPr>
                <w:rFonts w:hint="eastAsia"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产教融合处</w:t>
            </w:r>
          </w:p>
        </w:tc>
        <w:tc>
          <w:tcPr>
            <w:tcW w:w="2280" w:type="dxa"/>
            <w:vAlign w:val="center"/>
          </w:tcPr>
          <w:p>
            <w:pPr>
              <w:jc w:val="center"/>
              <w:rPr>
                <w:rFonts w:hint="eastAsia"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各二级学院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85" w:type="dxa"/>
            <w:vMerge w:val="continue"/>
            <w:vAlign w:val="center"/>
          </w:tcPr>
          <w:p>
            <w:pPr>
              <w:jc w:val="center"/>
              <w:rPr>
                <w:rFonts w:hint="eastAsia" w:ascii="仿宋" w:hAnsi="仿宋" w:eastAsia="仿宋" w:cs="仿宋"/>
                <w:color w:val="auto"/>
                <w:spacing w:val="0"/>
                <w:sz w:val="24"/>
                <w:szCs w:val="24"/>
                <w:vertAlign w:val="baseline"/>
                <w:lang w:eastAsia="zh-CN"/>
              </w:rPr>
            </w:pPr>
          </w:p>
        </w:tc>
        <w:tc>
          <w:tcPr>
            <w:tcW w:w="645" w:type="dxa"/>
            <w:vAlign w:val="center"/>
          </w:tcPr>
          <w:p>
            <w:pPr>
              <w:jc w:val="center"/>
              <w:rPr>
                <w:rFonts w:hint="default"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47</w:t>
            </w:r>
          </w:p>
        </w:tc>
        <w:tc>
          <w:tcPr>
            <w:tcW w:w="8963" w:type="dxa"/>
            <w:vAlign w:val="center"/>
          </w:tcPr>
          <w:p>
            <w:pPr>
              <w:jc w:val="both"/>
              <w:rPr>
                <w:rFonts w:hint="eastAsia"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积极参与“职教高考”标准化考场建设。</w:t>
            </w:r>
          </w:p>
        </w:tc>
        <w:tc>
          <w:tcPr>
            <w:tcW w:w="1695" w:type="dxa"/>
            <w:vAlign w:val="center"/>
          </w:tcPr>
          <w:p>
            <w:pPr>
              <w:jc w:val="center"/>
              <w:rPr>
                <w:rFonts w:hint="default"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招考处</w:t>
            </w:r>
          </w:p>
        </w:tc>
        <w:tc>
          <w:tcPr>
            <w:tcW w:w="2280" w:type="dxa"/>
            <w:vAlign w:val="center"/>
          </w:tcPr>
          <w:p>
            <w:pPr>
              <w:jc w:val="center"/>
              <w:rPr>
                <w:rFonts w:hint="eastAsia"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教务处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85" w:type="dxa"/>
            <w:vMerge w:val="continue"/>
            <w:vAlign w:val="center"/>
          </w:tcPr>
          <w:p>
            <w:pPr>
              <w:jc w:val="center"/>
              <w:rPr>
                <w:rFonts w:hint="eastAsia" w:ascii="仿宋" w:hAnsi="仿宋" w:eastAsia="仿宋" w:cs="仿宋"/>
                <w:color w:val="auto"/>
                <w:spacing w:val="0"/>
                <w:sz w:val="24"/>
                <w:szCs w:val="24"/>
                <w:vertAlign w:val="baseline"/>
                <w:lang w:eastAsia="zh-CN"/>
              </w:rPr>
            </w:pPr>
          </w:p>
        </w:tc>
        <w:tc>
          <w:tcPr>
            <w:tcW w:w="645" w:type="dxa"/>
            <w:vAlign w:val="center"/>
          </w:tcPr>
          <w:p>
            <w:pPr>
              <w:jc w:val="center"/>
              <w:rPr>
                <w:rFonts w:hint="eastAsia"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48</w:t>
            </w:r>
          </w:p>
        </w:tc>
        <w:tc>
          <w:tcPr>
            <w:tcW w:w="8963" w:type="dxa"/>
            <w:vAlign w:val="center"/>
          </w:tcPr>
          <w:p>
            <w:pPr>
              <w:jc w:val="both"/>
              <w:rPr>
                <w:rFonts w:hint="eastAsia"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积极参与“职教高考”题库建设。</w:t>
            </w:r>
          </w:p>
        </w:tc>
        <w:tc>
          <w:tcPr>
            <w:tcW w:w="1695" w:type="dxa"/>
            <w:vAlign w:val="center"/>
          </w:tcPr>
          <w:p>
            <w:pPr>
              <w:jc w:val="center"/>
              <w:rPr>
                <w:rFonts w:hint="default"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教务处</w:t>
            </w:r>
          </w:p>
        </w:tc>
        <w:tc>
          <w:tcPr>
            <w:tcW w:w="2280" w:type="dxa"/>
            <w:vAlign w:val="center"/>
          </w:tcPr>
          <w:p>
            <w:pPr>
              <w:jc w:val="center"/>
              <w:rPr>
                <w:rFonts w:hint="eastAsia"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各二级学院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85" w:type="dxa"/>
            <w:vMerge w:val="continue"/>
            <w:vAlign w:val="center"/>
          </w:tcPr>
          <w:p>
            <w:pPr>
              <w:jc w:val="center"/>
              <w:rPr>
                <w:rFonts w:hint="eastAsia" w:ascii="仿宋" w:hAnsi="仿宋" w:eastAsia="仿宋" w:cs="仿宋"/>
                <w:color w:val="auto"/>
                <w:spacing w:val="0"/>
                <w:sz w:val="24"/>
                <w:szCs w:val="24"/>
                <w:vertAlign w:val="baseline"/>
                <w:lang w:eastAsia="zh-CN"/>
              </w:rPr>
            </w:pPr>
          </w:p>
        </w:tc>
        <w:tc>
          <w:tcPr>
            <w:tcW w:w="645" w:type="dxa"/>
            <w:vAlign w:val="center"/>
          </w:tcPr>
          <w:p>
            <w:pPr>
              <w:jc w:val="center"/>
              <w:rPr>
                <w:rFonts w:hint="default"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49</w:t>
            </w:r>
          </w:p>
        </w:tc>
        <w:tc>
          <w:tcPr>
            <w:tcW w:w="8963" w:type="dxa"/>
            <w:vAlign w:val="center"/>
          </w:tcPr>
          <w:p>
            <w:pPr>
              <w:jc w:val="both"/>
              <w:rPr>
                <w:rFonts w:hint="eastAsia"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牵头推动全省高职院校名班主任工作室建设，培育更多学校名班主任工作室。</w:t>
            </w:r>
          </w:p>
        </w:tc>
        <w:tc>
          <w:tcPr>
            <w:tcW w:w="1695" w:type="dxa"/>
            <w:vAlign w:val="center"/>
          </w:tcPr>
          <w:p>
            <w:pPr>
              <w:jc w:val="center"/>
              <w:rPr>
                <w:rFonts w:hint="eastAsia"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学工部</w:t>
            </w:r>
          </w:p>
        </w:tc>
        <w:tc>
          <w:tcPr>
            <w:tcW w:w="2280" w:type="dxa"/>
            <w:vAlign w:val="center"/>
          </w:tcPr>
          <w:p>
            <w:pPr>
              <w:jc w:val="center"/>
              <w:rPr>
                <w:rFonts w:hint="eastAsia"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各二级学院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85" w:type="dxa"/>
            <w:vMerge w:val="restart"/>
            <w:vAlign w:val="center"/>
          </w:tcPr>
          <w:p>
            <w:pPr>
              <w:jc w:val="center"/>
              <w:rPr>
                <w:rFonts w:hint="eastAsia" w:ascii="仿宋" w:hAnsi="仿宋" w:eastAsia="仿宋" w:cs="仿宋"/>
                <w:color w:val="auto"/>
                <w:spacing w:val="0"/>
                <w:sz w:val="24"/>
                <w:szCs w:val="24"/>
                <w:vertAlign w:val="baseline"/>
                <w:lang w:eastAsia="zh-CN"/>
              </w:rPr>
            </w:pPr>
            <w:r>
              <w:rPr>
                <w:rFonts w:hint="eastAsia" w:ascii="仿宋" w:hAnsi="仿宋" w:eastAsia="仿宋" w:cs="仿宋"/>
                <w:color w:val="auto"/>
                <w:spacing w:val="0"/>
                <w:sz w:val="24"/>
                <w:szCs w:val="24"/>
                <w:vertAlign w:val="baseline"/>
                <w:lang w:val="en-US" w:eastAsia="zh-CN"/>
              </w:rPr>
              <w:t>（十二）对接产业链优化专业布局</w:t>
            </w:r>
          </w:p>
        </w:tc>
        <w:tc>
          <w:tcPr>
            <w:tcW w:w="645" w:type="dxa"/>
            <w:vAlign w:val="center"/>
          </w:tcPr>
          <w:p>
            <w:pPr>
              <w:jc w:val="center"/>
              <w:rPr>
                <w:rFonts w:hint="default"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50</w:t>
            </w:r>
          </w:p>
        </w:tc>
        <w:tc>
          <w:tcPr>
            <w:tcW w:w="8963" w:type="dxa"/>
            <w:vAlign w:val="center"/>
          </w:tcPr>
          <w:p>
            <w:pPr>
              <w:jc w:val="both"/>
              <w:rPr>
                <w:rFonts w:hint="eastAsia"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策应江西省“2+6+N”产业发展布局和旅游强省、乡村振兴战略，依据教育部《职业教育专业目录（2021年）》，落实专业建设委员会职责及相关工作，完善专业评价与动态调整机制，优化专业设置，建成适应我省新经济“双循环”格局下产业链和创新链人才需求的专业体系，实现专业与产业“同频共振”，推进并完成学年度专业层诊改。</w:t>
            </w:r>
          </w:p>
        </w:tc>
        <w:tc>
          <w:tcPr>
            <w:tcW w:w="1695" w:type="dxa"/>
            <w:vAlign w:val="center"/>
          </w:tcPr>
          <w:p>
            <w:pPr>
              <w:jc w:val="center"/>
              <w:rPr>
                <w:rFonts w:hint="eastAsia" w:ascii="仿宋" w:hAnsi="仿宋" w:eastAsia="仿宋" w:cs="仿宋"/>
                <w:color w:val="auto"/>
                <w:spacing w:val="0"/>
                <w:sz w:val="24"/>
                <w:szCs w:val="24"/>
                <w:vertAlign w:val="baseline"/>
                <w:lang w:eastAsia="zh-CN"/>
              </w:rPr>
            </w:pPr>
            <w:r>
              <w:rPr>
                <w:rFonts w:hint="eastAsia" w:ascii="仿宋" w:hAnsi="仿宋" w:eastAsia="仿宋" w:cs="仿宋"/>
                <w:color w:val="auto"/>
                <w:spacing w:val="0"/>
                <w:sz w:val="24"/>
                <w:szCs w:val="24"/>
                <w:vertAlign w:val="baseline"/>
                <w:lang w:val="en-US" w:eastAsia="zh-CN"/>
              </w:rPr>
              <w:t>教务处</w:t>
            </w:r>
          </w:p>
        </w:tc>
        <w:tc>
          <w:tcPr>
            <w:tcW w:w="2280" w:type="dxa"/>
            <w:vAlign w:val="center"/>
          </w:tcPr>
          <w:p>
            <w:pPr>
              <w:jc w:val="center"/>
              <w:rPr>
                <w:rFonts w:hint="eastAsia"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发展规划处</w:t>
            </w:r>
          </w:p>
          <w:p>
            <w:pPr>
              <w:jc w:val="center"/>
              <w:rPr>
                <w:rFonts w:hint="eastAsia"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各二级学院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85" w:type="dxa"/>
            <w:vMerge w:val="continue"/>
            <w:vAlign w:val="center"/>
          </w:tcPr>
          <w:p>
            <w:pPr>
              <w:jc w:val="center"/>
              <w:rPr>
                <w:rFonts w:hint="eastAsia" w:ascii="仿宋" w:hAnsi="仿宋" w:eastAsia="仿宋" w:cs="仿宋"/>
                <w:color w:val="auto"/>
                <w:spacing w:val="0"/>
                <w:sz w:val="24"/>
                <w:szCs w:val="24"/>
                <w:vertAlign w:val="baseline"/>
                <w:lang w:eastAsia="zh-CN"/>
              </w:rPr>
            </w:pPr>
          </w:p>
        </w:tc>
        <w:tc>
          <w:tcPr>
            <w:tcW w:w="645" w:type="dxa"/>
            <w:vAlign w:val="center"/>
          </w:tcPr>
          <w:p>
            <w:pPr>
              <w:jc w:val="center"/>
              <w:rPr>
                <w:rFonts w:hint="default"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51</w:t>
            </w:r>
          </w:p>
        </w:tc>
        <w:tc>
          <w:tcPr>
            <w:tcW w:w="8963" w:type="dxa"/>
            <w:vAlign w:val="center"/>
          </w:tcPr>
          <w:p>
            <w:pPr>
              <w:jc w:val="both"/>
              <w:rPr>
                <w:rFonts w:hint="eastAsia"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完善以旅游管理、物流管理两大专业群为龙头，会计大数据、信息创造、智能制造、社会体育等专业群协同发展的专业布局。传承挖掘办学传统和优势，凝练研究乡村振兴、双创、研学等旅商专业特色。</w:t>
            </w:r>
          </w:p>
        </w:tc>
        <w:tc>
          <w:tcPr>
            <w:tcW w:w="1695" w:type="dxa"/>
            <w:vAlign w:val="center"/>
          </w:tcPr>
          <w:p>
            <w:pPr>
              <w:jc w:val="center"/>
              <w:rPr>
                <w:rFonts w:hint="eastAsia" w:ascii="仿宋" w:hAnsi="仿宋" w:eastAsia="仿宋" w:cs="仿宋"/>
                <w:color w:val="auto"/>
                <w:spacing w:val="0"/>
                <w:sz w:val="24"/>
                <w:szCs w:val="24"/>
                <w:vertAlign w:val="baseline"/>
                <w:lang w:eastAsia="zh-CN"/>
              </w:rPr>
            </w:pPr>
            <w:r>
              <w:rPr>
                <w:rFonts w:hint="eastAsia" w:ascii="仿宋" w:hAnsi="仿宋" w:eastAsia="仿宋" w:cs="仿宋"/>
                <w:color w:val="auto"/>
                <w:spacing w:val="0"/>
                <w:sz w:val="24"/>
                <w:szCs w:val="24"/>
                <w:vertAlign w:val="baseline"/>
                <w:lang w:val="en-US" w:eastAsia="zh-CN"/>
              </w:rPr>
              <w:t>教务处</w:t>
            </w:r>
          </w:p>
        </w:tc>
        <w:tc>
          <w:tcPr>
            <w:tcW w:w="2280" w:type="dxa"/>
            <w:vAlign w:val="center"/>
          </w:tcPr>
          <w:p>
            <w:pPr>
              <w:jc w:val="center"/>
              <w:rPr>
                <w:rFonts w:hint="eastAsia"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发展规划处</w:t>
            </w:r>
          </w:p>
          <w:p>
            <w:pPr>
              <w:jc w:val="center"/>
              <w:rPr>
                <w:rFonts w:hint="eastAsia"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各二级学院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85" w:type="dxa"/>
            <w:vMerge w:val="restart"/>
            <w:vAlign w:val="center"/>
          </w:tcPr>
          <w:p>
            <w:pPr>
              <w:jc w:val="center"/>
              <w:rPr>
                <w:rFonts w:hint="eastAsia" w:ascii="仿宋" w:hAnsi="仿宋" w:eastAsia="仿宋" w:cs="仿宋"/>
                <w:color w:val="auto"/>
                <w:spacing w:val="0"/>
                <w:sz w:val="24"/>
                <w:szCs w:val="24"/>
                <w:vertAlign w:val="baseline"/>
                <w:lang w:eastAsia="zh-CN"/>
              </w:rPr>
            </w:pPr>
            <w:r>
              <w:rPr>
                <w:rFonts w:hint="eastAsia" w:ascii="仿宋" w:hAnsi="仿宋" w:eastAsia="仿宋" w:cs="仿宋"/>
                <w:color w:val="auto"/>
                <w:spacing w:val="0"/>
                <w:sz w:val="24"/>
                <w:szCs w:val="24"/>
                <w:vertAlign w:val="baseline"/>
                <w:lang w:val="en-US" w:eastAsia="zh-CN"/>
              </w:rPr>
              <w:t>（十三）着力教学质量项目建设</w:t>
            </w:r>
          </w:p>
        </w:tc>
        <w:tc>
          <w:tcPr>
            <w:tcW w:w="645" w:type="dxa"/>
            <w:vAlign w:val="center"/>
          </w:tcPr>
          <w:p>
            <w:pPr>
              <w:jc w:val="center"/>
              <w:rPr>
                <w:rFonts w:hint="default"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52</w:t>
            </w:r>
          </w:p>
        </w:tc>
        <w:tc>
          <w:tcPr>
            <w:tcW w:w="8963" w:type="dxa"/>
            <w:vAlign w:val="center"/>
          </w:tcPr>
          <w:p>
            <w:pPr>
              <w:jc w:val="both"/>
              <w:rPr>
                <w:rFonts w:hint="eastAsia"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聚力国家级教学成果培育，对5个省级教学成果一等奖项目进行重点培育，力争实现国家教学成果奖零的突破。</w:t>
            </w:r>
          </w:p>
        </w:tc>
        <w:tc>
          <w:tcPr>
            <w:tcW w:w="1695" w:type="dxa"/>
            <w:vAlign w:val="center"/>
          </w:tcPr>
          <w:p>
            <w:pPr>
              <w:jc w:val="center"/>
              <w:rPr>
                <w:rFonts w:hint="eastAsia" w:ascii="仿宋" w:hAnsi="仿宋" w:eastAsia="仿宋" w:cs="仿宋"/>
                <w:color w:val="auto"/>
                <w:spacing w:val="0"/>
                <w:sz w:val="24"/>
                <w:szCs w:val="24"/>
                <w:vertAlign w:val="baseline"/>
                <w:lang w:eastAsia="zh-CN"/>
              </w:rPr>
            </w:pPr>
            <w:r>
              <w:rPr>
                <w:rFonts w:hint="eastAsia" w:ascii="仿宋" w:hAnsi="仿宋" w:eastAsia="仿宋" w:cs="仿宋"/>
                <w:color w:val="auto"/>
                <w:spacing w:val="0"/>
                <w:sz w:val="24"/>
                <w:szCs w:val="24"/>
                <w:vertAlign w:val="baseline"/>
                <w:lang w:val="en-US" w:eastAsia="zh-CN"/>
              </w:rPr>
              <w:t>教务处</w:t>
            </w:r>
          </w:p>
        </w:tc>
        <w:tc>
          <w:tcPr>
            <w:tcW w:w="2280" w:type="dxa"/>
            <w:vAlign w:val="center"/>
          </w:tcPr>
          <w:p>
            <w:pPr>
              <w:jc w:val="center"/>
              <w:rPr>
                <w:rFonts w:hint="eastAsia"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各二级学院</w:t>
            </w:r>
          </w:p>
          <w:p>
            <w:pPr>
              <w:jc w:val="center"/>
              <w:rPr>
                <w:rFonts w:hint="eastAsia"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各相关部门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85" w:type="dxa"/>
            <w:vMerge w:val="continue"/>
            <w:vAlign w:val="center"/>
          </w:tcPr>
          <w:p>
            <w:pPr>
              <w:jc w:val="center"/>
              <w:rPr>
                <w:rFonts w:hint="eastAsia" w:ascii="仿宋" w:hAnsi="仿宋" w:eastAsia="仿宋" w:cs="仿宋"/>
                <w:color w:val="auto"/>
                <w:spacing w:val="0"/>
                <w:sz w:val="24"/>
                <w:szCs w:val="24"/>
                <w:vertAlign w:val="baseline"/>
                <w:lang w:eastAsia="zh-CN"/>
              </w:rPr>
            </w:pPr>
          </w:p>
        </w:tc>
        <w:tc>
          <w:tcPr>
            <w:tcW w:w="645" w:type="dxa"/>
            <w:vAlign w:val="center"/>
          </w:tcPr>
          <w:p>
            <w:pPr>
              <w:jc w:val="center"/>
              <w:rPr>
                <w:rFonts w:hint="default"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53</w:t>
            </w:r>
          </w:p>
        </w:tc>
        <w:tc>
          <w:tcPr>
            <w:tcW w:w="8963" w:type="dxa"/>
            <w:vAlign w:val="center"/>
          </w:tcPr>
          <w:p>
            <w:pPr>
              <w:jc w:val="both"/>
              <w:rPr>
                <w:rFonts w:hint="eastAsia"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统筹实施课程思政“五个一”计划，全面提升课程思政建设水平，着力培育校级课程思政示范课10门，新增省级课程思政示范课2门、国家级课程思政示范课1门。</w:t>
            </w:r>
          </w:p>
        </w:tc>
        <w:tc>
          <w:tcPr>
            <w:tcW w:w="1695" w:type="dxa"/>
            <w:vAlign w:val="center"/>
          </w:tcPr>
          <w:p>
            <w:pPr>
              <w:jc w:val="center"/>
              <w:rPr>
                <w:rFonts w:hint="default"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教务处</w:t>
            </w:r>
          </w:p>
        </w:tc>
        <w:tc>
          <w:tcPr>
            <w:tcW w:w="2280" w:type="dxa"/>
            <w:vAlign w:val="center"/>
          </w:tcPr>
          <w:p>
            <w:pPr>
              <w:jc w:val="center"/>
              <w:rPr>
                <w:rFonts w:hint="eastAsia"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各二级学院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85" w:type="dxa"/>
            <w:vMerge w:val="continue"/>
            <w:vAlign w:val="center"/>
          </w:tcPr>
          <w:p>
            <w:pPr>
              <w:jc w:val="center"/>
              <w:rPr>
                <w:rFonts w:hint="eastAsia" w:ascii="仿宋" w:hAnsi="仿宋" w:eastAsia="仿宋" w:cs="仿宋"/>
                <w:color w:val="auto"/>
                <w:spacing w:val="0"/>
                <w:sz w:val="24"/>
                <w:szCs w:val="24"/>
                <w:vertAlign w:val="baseline"/>
                <w:lang w:eastAsia="zh-CN"/>
              </w:rPr>
            </w:pPr>
          </w:p>
        </w:tc>
        <w:tc>
          <w:tcPr>
            <w:tcW w:w="645" w:type="dxa"/>
            <w:vAlign w:val="center"/>
          </w:tcPr>
          <w:p>
            <w:pPr>
              <w:jc w:val="center"/>
              <w:rPr>
                <w:rFonts w:hint="default"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54</w:t>
            </w:r>
          </w:p>
        </w:tc>
        <w:tc>
          <w:tcPr>
            <w:tcW w:w="8963" w:type="dxa"/>
            <w:vAlign w:val="center"/>
          </w:tcPr>
          <w:p>
            <w:pPr>
              <w:jc w:val="both"/>
              <w:rPr>
                <w:rFonts w:hint="eastAsia"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不断强化课程建设，推进并完成学年度课程层诊改；出台课程分级建设标准，遴选建设第二批旅商标杆课，培育申报省级和国家级精品在线开放课，力争新增3门省级精品在线开放课程。</w:t>
            </w:r>
          </w:p>
        </w:tc>
        <w:tc>
          <w:tcPr>
            <w:tcW w:w="1695" w:type="dxa"/>
            <w:vAlign w:val="center"/>
          </w:tcPr>
          <w:p>
            <w:pPr>
              <w:jc w:val="center"/>
              <w:rPr>
                <w:rFonts w:hint="eastAsia" w:ascii="仿宋" w:hAnsi="仿宋" w:eastAsia="仿宋" w:cs="仿宋"/>
                <w:color w:val="auto"/>
                <w:spacing w:val="0"/>
                <w:sz w:val="24"/>
                <w:szCs w:val="24"/>
                <w:vertAlign w:val="baseline"/>
                <w:lang w:eastAsia="zh-CN"/>
              </w:rPr>
            </w:pPr>
            <w:r>
              <w:rPr>
                <w:rFonts w:hint="eastAsia" w:ascii="仿宋" w:hAnsi="仿宋" w:eastAsia="仿宋" w:cs="仿宋"/>
                <w:color w:val="auto"/>
                <w:spacing w:val="0"/>
                <w:sz w:val="24"/>
                <w:szCs w:val="24"/>
                <w:vertAlign w:val="baseline"/>
                <w:lang w:val="en-US" w:eastAsia="zh-CN"/>
              </w:rPr>
              <w:t>教务处</w:t>
            </w:r>
          </w:p>
        </w:tc>
        <w:tc>
          <w:tcPr>
            <w:tcW w:w="2280" w:type="dxa"/>
            <w:vAlign w:val="center"/>
          </w:tcPr>
          <w:p>
            <w:pPr>
              <w:jc w:val="center"/>
              <w:rPr>
                <w:rFonts w:hint="eastAsia"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发展规划处</w:t>
            </w:r>
          </w:p>
          <w:p>
            <w:pPr>
              <w:jc w:val="center"/>
              <w:rPr>
                <w:rFonts w:hint="eastAsia"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各二级学院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85" w:type="dxa"/>
            <w:vMerge w:val="continue"/>
            <w:vAlign w:val="center"/>
          </w:tcPr>
          <w:p>
            <w:pPr>
              <w:jc w:val="center"/>
              <w:rPr>
                <w:rFonts w:hint="eastAsia" w:ascii="仿宋" w:hAnsi="仿宋" w:eastAsia="仿宋" w:cs="仿宋"/>
                <w:color w:val="auto"/>
                <w:spacing w:val="0"/>
                <w:sz w:val="24"/>
                <w:szCs w:val="24"/>
                <w:vertAlign w:val="baseline"/>
                <w:lang w:eastAsia="zh-CN"/>
              </w:rPr>
            </w:pPr>
          </w:p>
        </w:tc>
        <w:tc>
          <w:tcPr>
            <w:tcW w:w="645" w:type="dxa"/>
            <w:vAlign w:val="center"/>
          </w:tcPr>
          <w:p>
            <w:pPr>
              <w:jc w:val="center"/>
              <w:rPr>
                <w:rFonts w:hint="default"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55</w:t>
            </w:r>
          </w:p>
        </w:tc>
        <w:tc>
          <w:tcPr>
            <w:tcW w:w="8963" w:type="dxa"/>
            <w:vAlign w:val="center"/>
          </w:tcPr>
          <w:p>
            <w:pPr>
              <w:jc w:val="both"/>
              <w:rPr>
                <w:rFonts w:hint="eastAsia"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加强教材管理，获评“十四五”规划教材省级5部、国家级3部。</w:t>
            </w:r>
          </w:p>
        </w:tc>
        <w:tc>
          <w:tcPr>
            <w:tcW w:w="1695" w:type="dxa"/>
            <w:vAlign w:val="center"/>
          </w:tcPr>
          <w:p>
            <w:pPr>
              <w:jc w:val="center"/>
              <w:rPr>
                <w:rFonts w:hint="eastAsia" w:ascii="仿宋" w:hAnsi="仿宋" w:eastAsia="仿宋" w:cs="仿宋"/>
                <w:color w:val="auto"/>
                <w:spacing w:val="0"/>
                <w:sz w:val="24"/>
                <w:szCs w:val="24"/>
                <w:vertAlign w:val="baseline"/>
                <w:lang w:eastAsia="zh-CN"/>
              </w:rPr>
            </w:pPr>
            <w:r>
              <w:rPr>
                <w:rFonts w:hint="eastAsia" w:ascii="仿宋" w:hAnsi="仿宋" w:eastAsia="仿宋" w:cs="仿宋"/>
                <w:color w:val="auto"/>
                <w:spacing w:val="0"/>
                <w:sz w:val="24"/>
                <w:szCs w:val="24"/>
                <w:vertAlign w:val="baseline"/>
                <w:lang w:val="en-US" w:eastAsia="zh-CN"/>
              </w:rPr>
              <w:t>教务处</w:t>
            </w:r>
          </w:p>
        </w:tc>
        <w:tc>
          <w:tcPr>
            <w:tcW w:w="2280" w:type="dxa"/>
            <w:vAlign w:val="center"/>
          </w:tcPr>
          <w:p>
            <w:pPr>
              <w:jc w:val="center"/>
              <w:rPr>
                <w:rFonts w:hint="eastAsia"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宣传统战部</w:t>
            </w:r>
          </w:p>
          <w:p>
            <w:pPr>
              <w:jc w:val="center"/>
              <w:rPr>
                <w:rFonts w:hint="eastAsia"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各二级学院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85" w:type="dxa"/>
            <w:vMerge w:val="continue"/>
            <w:vAlign w:val="center"/>
          </w:tcPr>
          <w:p>
            <w:pPr>
              <w:jc w:val="center"/>
              <w:rPr>
                <w:rFonts w:hint="eastAsia" w:ascii="仿宋" w:hAnsi="仿宋" w:eastAsia="仿宋" w:cs="仿宋"/>
                <w:color w:val="auto"/>
                <w:spacing w:val="0"/>
                <w:sz w:val="24"/>
                <w:szCs w:val="24"/>
                <w:vertAlign w:val="baseline"/>
                <w:lang w:eastAsia="zh-CN"/>
              </w:rPr>
            </w:pPr>
          </w:p>
        </w:tc>
        <w:tc>
          <w:tcPr>
            <w:tcW w:w="645" w:type="dxa"/>
            <w:vAlign w:val="center"/>
          </w:tcPr>
          <w:p>
            <w:pPr>
              <w:jc w:val="center"/>
              <w:rPr>
                <w:rFonts w:hint="default"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56</w:t>
            </w:r>
          </w:p>
        </w:tc>
        <w:tc>
          <w:tcPr>
            <w:tcW w:w="8963" w:type="dxa"/>
            <w:vAlign w:val="center"/>
          </w:tcPr>
          <w:p>
            <w:pPr>
              <w:jc w:val="both"/>
              <w:rPr>
                <w:rFonts w:hint="eastAsia"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加强“岗课赛证”融合，改革教学评价体系，健全世赛、国赛、省赛、校赛四级师生比赛机制，教师参加全国职业院校教学能力比赛获奖1项以上，师生获得全国职业院校技能大赛获奖6项以上，力争世界技能大赛取得新突破。</w:t>
            </w:r>
          </w:p>
        </w:tc>
        <w:tc>
          <w:tcPr>
            <w:tcW w:w="1695" w:type="dxa"/>
            <w:vAlign w:val="center"/>
          </w:tcPr>
          <w:p>
            <w:pPr>
              <w:jc w:val="center"/>
              <w:rPr>
                <w:rFonts w:hint="eastAsia" w:ascii="仿宋" w:hAnsi="仿宋" w:eastAsia="仿宋" w:cs="仿宋"/>
                <w:color w:val="auto"/>
                <w:spacing w:val="0"/>
                <w:sz w:val="24"/>
                <w:szCs w:val="24"/>
                <w:vertAlign w:val="baseline"/>
                <w:lang w:eastAsia="zh-CN"/>
              </w:rPr>
            </w:pPr>
            <w:r>
              <w:rPr>
                <w:rFonts w:hint="eastAsia" w:ascii="仿宋" w:hAnsi="仿宋" w:eastAsia="仿宋" w:cs="仿宋"/>
                <w:color w:val="auto"/>
                <w:spacing w:val="0"/>
                <w:sz w:val="24"/>
                <w:szCs w:val="24"/>
                <w:vertAlign w:val="baseline"/>
                <w:lang w:val="en-US" w:eastAsia="zh-CN"/>
              </w:rPr>
              <w:t>教务处</w:t>
            </w:r>
          </w:p>
        </w:tc>
        <w:tc>
          <w:tcPr>
            <w:tcW w:w="2280" w:type="dxa"/>
            <w:vAlign w:val="center"/>
          </w:tcPr>
          <w:p>
            <w:pPr>
              <w:jc w:val="center"/>
              <w:rPr>
                <w:rFonts w:hint="eastAsia"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技校工作部</w:t>
            </w:r>
          </w:p>
          <w:p>
            <w:pPr>
              <w:jc w:val="center"/>
              <w:rPr>
                <w:rFonts w:hint="eastAsia"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各二级学院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85" w:type="dxa"/>
            <w:vMerge w:val="continue"/>
            <w:vAlign w:val="center"/>
          </w:tcPr>
          <w:p>
            <w:pPr>
              <w:jc w:val="center"/>
              <w:rPr>
                <w:rFonts w:hint="eastAsia" w:ascii="仿宋" w:hAnsi="仿宋" w:eastAsia="仿宋" w:cs="仿宋"/>
                <w:color w:val="auto"/>
                <w:spacing w:val="0"/>
                <w:sz w:val="24"/>
                <w:szCs w:val="24"/>
                <w:vertAlign w:val="baseline"/>
                <w:lang w:eastAsia="zh-CN"/>
              </w:rPr>
            </w:pPr>
          </w:p>
        </w:tc>
        <w:tc>
          <w:tcPr>
            <w:tcW w:w="645" w:type="dxa"/>
            <w:vAlign w:val="center"/>
          </w:tcPr>
          <w:p>
            <w:pPr>
              <w:jc w:val="center"/>
              <w:rPr>
                <w:rFonts w:hint="default"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57</w:t>
            </w:r>
          </w:p>
        </w:tc>
        <w:tc>
          <w:tcPr>
            <w:tcW w:w="8963" w:type="dxa"/>
            <w:vAlign w:val="center"/>
          </w:tcPr>
          <w:p>
            <w:pPr>
              <w:jc w:val="both"/>
              <w:rPr>
                <w:rFonts w:hint="eastAsia"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深入推进“提质培优行动计划”和“一校一策”项目任务，确保各项任务顺利完成。</w:t>
            </w:r>
          </w:p>
        </w:tc>
        <w:tc>
          <w:tcPr>
            <w:tcW w:w="1695" w:type="dxa"/>
            <w:vAlign w:val="center"/>
          </w:tcPr>
          <w:p>
            <w:pPr>
              <w:jc w:val="center"/>
              <w:rPr>
                <w:rFonts w:hint="eastAsia"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教务处</w:t>
            </w:r>
          </w:p>
        </w:tc>
        <w:tc>
          <w:tcPr>
            <w:tcW w:w="2280" w:type="dxa"/>
            <w:vAlign w:val="center"/>
          </w:tcPr>
          <w:p>
            <w:pPr>
              <w:jc w:val="center"/>
              <w:rPr>
                <w:rFonts w:hint="eastAsia"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发展规划处</w:t>
            </w:r>
          </w:p>
          <w:p>
            <w:pPr>
              <w:jc w:val="center"/>
              <w:rPr>
                <w:rFonts w:hint="eastAsia"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各二级学院</w:t>
            </w:r>
          </w:p>
          <w:p>
            <w:pPr>
              <w:jc w:val="center"/>
              <w:rPr>
                <w:rFonts w:hint="eastAsia"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各相关部门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68" w:type="dxa"/>
            <w:gridSpan w:val="5"/>
            <w:vAlign w:val="center"/>
          </w:tcPr>
          <w:p>
            <w:pPr>
              <w:jc w:val="center"/>
              <w:rPr>
                <w:rFonts w:hint="eastAsia" w:ascii="仿宋" w:hAnsi="仿宋" w:eastAsia="仿宋" w:cs="仿宋"/>
                <w:color w:val="auto"/>
                <w:spacing w:val="0"/>
                <w:sz w:val="24"/>
                <w:szCs w:val="24"/>
                <w:vertAlign w:val="baseline"/>
                <w:lang w:val="en-US" w:eastAsia="zh-CN"/>
              </w:rPr>
            </w:pPr>
            <w:r>
              <w:rPr>
                <w:rFonts w:hint="eastAsia" w:ascii="黑体" w:hAnsi="黑体" w:eastAsia="黑体" w:cs="黑体"/>
                <w:color w:val="auto"/>
                <w:spacing w:val="0"/>
                <w:sz w:val="24"/>
                <w:szCs w:val="24"/>
                <w:vertAlign w:val="baseline"/>
                <w:lang w:val="en-US" w:eastAsia="zh-CN"/>
              </w:rPr>
              <w:t>四、强化协同聚力，提升办学治校水平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85" w:type="dxa"/>
            <w:vMerge w:val="restart"/>
            <w:vAlign w:val="center"/>
          </w:tcPr>
          <w:p>
            <w:pPr>
              <w:jc w:val="center"/>
              <w:rPr>
                <w:rFonts w:hint="eastAsia" w:ascii="仿宋" w:hAnsi="仿宋" w:eastAsia="仿宋" w:cs="仿宋"/>
                <w:color w:val="auto"/>
                <w:spacing w:val="0"/>
                <w:sz w:val="24"/>
                <w:szCs w:val="24"/>
                <w:vertAlign w:val="baseline"/>
                <w:lang w:eastAsia="zh-CN"/>
              </w:rPr>
            </w:pPr>
            <w:r>
              <w:rPr>
                <w:rFonts w:hint="eastAsia" w:ascii="仿宋" w:hAnsi="仿宋" w:eastAsia="仿宋" w:cs="仿宋"/>
                <w:color w:val="auto"/>
                <w:spacing w:val="0"/>
                <w:sz w:val="24"/>
                <w:szCs w:val="24"/>
                <w:vertAlign w:val="baseline"/>
                <w:lang w:val="en-US" w:eastAsia="zh-CN"/>
              </w:rPr>
              <w:t>（十四）深入实施“十四五”发展规划</w:t>
            </w:r>
          </w:p>
        </w:tc>
        <w:tc>
          <w:tcPr>
            <w:tcW w:w="645" w:type="dxa"/>
            <w:vAlign w:val="center"/>
          </w:tcPr>
          <w:p>
            <w:pPr>
              <w:jc w:val="center"/>
              <w:rPr>
                <w:rFonts w:hint="default"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58</w:t>
            </w:r>
          </w:p>
        </w:tc>
        <w:tc>
          <w:tcPr>
            <w:tcW w:w="8963" w:type="dxa"/>
            <w:vAlign w:val="center"/>
          </w:tcPr>
          <w:p>
            <w:pPr>
              <w:jc w:val="both"/>
              <w:rPr>
                <w:rFonts w:hint="eastAsia"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召开工作部署会议，专题研究落实“十四五”时期学校总规划和各二级学院、各相关部门子规划的落地方案，形成按年度、部门两个维度的指标任务分解，推动各二级学院、各部门将学校“十四五”事业发展规划以量化指标形式落实到本单位2022年度工作计划和2022年度诊改，细化到日常工作的各层面、各环节，做到可量化检测。</w:t>
            </w:r>
          </w:p>
        </w:tc>
        <w:tc>
          <w:tcPr>
            <w:tcW w:w="1695" w:type="dxa"/>
            <w:vAlign w:val="center"/>
          </w:tcPr>
          <w:p>
            <w:pPr>
              <w:jc w:val="center"/>
              <w:rPr>
                <w:rFonts w:hint="default"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发展规划处</w:t>
            </w:r>
          </w:p>
        </w:tc>
        <w:tc>
          <w:tcPr>
            <w:tcW w:w="2280" w:type="dxa"/>
            <w:vAlign w:val="center"/>
          </w:tcPr>
          <w:p>
            <w:pPr>
              <w:jc w:val="center"/>
              <w:rPr>
                <w:rFonts w:hint="eastAsia"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各二级学院、各部门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85" w:type="dxa"/>
            <w:vMerge w:val="continue"/>
            <w:vAlign w:val="center"/>
          </w:tcPr>
          <w:p>
            <w:pPr>
              <w:jc w:val="center"/>
              <w:rPr>
                <w:rFonts w:hint="eastAsia" w:ascii="仿宋" w:hAnsi="仿宋" w:eastAsia="仿宋" w:cs="仿宋"/>
                <w:color w:val="auto"/>
                <w:spacing w:val="0"/>
                <w:sz w:val="24"/>
                <w:szCs w:val="24"/>
                <w:vertAlign w:val="baseline"/>
                <w:lang w:eastAsia="zh-CN"/>
              </w:rPr>
            </w:pPr>
          </w:p>
        </w:tc>
        <w:tc>
          <w:tcPr>
            <w:tcW w:w="645" w:type="dxa"/>
            <w:vAlign w:val="center"/>
          </w:tcPr>
          <w:p>
            <w:pPr>
              <w:jc w:val="center"/>
              <w:rPr>
                <w:rFonts w:hint="default"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59</w:t>
            </w:r>
          </w:p>
        </w:tc>
        <w:tc>
          <w:tcPr>
            <w:tcW w:w="8963" w:type="dxa"/>
            <w:vAlign w:val="center"/>
          </w:tcPr>
          <w:p>
            <w:pPr>
              <w:jc w:val="both"/>
              <w:rPr>
                <w:rFonts w:hint="eastAsia"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以教学诊断与改进为抓手，强化各二级学院、各部门年度工作计划、项目库建设计划与学校“十四五”规划有效衔接。</w:t>
            </w:r>
          </w:p>
        </w:tc>
        <w:tc>
          <w:tcPr>
            <w:tcW w:w="1695" w:type="dxa"/>
            <w:vAlign w:val="center"/>
          </w:tcPr>
          <w:p>
            <w:pPr>
              <w:jc w:val="center"/>
              <w:rPr>
                <w:rFonts w:hint="eastAsia" w:ascii="仿宋" w:hAnsi="仿宋" w:eastAsia="仿宋" w:cs="仿宋"/>
                <w:color w:val="auto"/>
                <w:spacing w:val="0"/>
                <w:sz w:val="24"/>
                <w:szCs w:val="24"/>
                <w:vertAlign w:val="baseline"/>
                <w:lang w:eastAsia="zh-CN"/>
              </w:rPr>
            </w:pPr>
            <w:r>
              <w:rPr>
                <w:rFonts w:hint="eastAsia" w:ascii="仿宋" w:hAnsi="仿宋" w:eastAsia="仿宋" w:cs="仿宋"/>
                <w:color w:val="auto"/>
                <w:spacing w:val="0"/>
                <w:sz w:val="24"/>
                <w:szCs w:val="24"/>
                <w:vertAlign w:val="baseline"/>
                <w:lang w:val="en-US" w:eastAsia="zh-CN"/>
              </w:rPr>
              <w:t>发展规划处</w:t>
            </w:r>
          </w:p>
        </w:tc>
        <w:tc>
          <w:tcPr>
            <w:tcW w:w="2280" w:type="dxa"/>
            <w:vAlign w:val="center"/>
          </w:tcPr>
          <w:p>
            <w:pPr>
              <w:jc w:val="center"/>
              <w:rPr>
                <w:rFonts w:hint="eastAsia"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各二级学院、各部门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85" w:type="dxa"/>
            <w:vMerge w:val="continue"/>
            <w:vAlign w:val="center"/>
          </w:tcPr>
          <w:p>
            <w:pPr>
              <w:jc w:val="center"/>
              <w:rPr>
                <w:rFonts w:hint="eastAsia" w:ascii="仿宋" w:hAnsi="仿宋" w:eastAsia="仿宋" w:cs="仿宋"/>
                <w:color w:val="auto"/>
                <w:spacing w:val="0"/>
                <w:sz w:val="24"/>
                <w:szCs w:val="24"/>
                <w:vertAlign w:val="baseline"/>
                <w:lang w:eastAsia="zh-CN"/>
              </w:rPr>
            </w:pPr>
          </w:p>
        </w:tc>
        <w:tc>
          <w:tcPr>
            <w:tcW w:w="645" w:type="dxa"/>
            <w:vAlign w:val="center"/>
          </w:tcPr>
          <w:p>
            <w:pPr>
              <w:jc w:val="center"/>
              <w:rPr>
                <w:rFonts w:hint="default"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60</w:t>
            </w:r>
          </w:p>
        </w:tc>
        <w:tc>
          <w:tcPr>
            <w:tcW w:w="8963" w:type="dxa"/>
            <w:vAlign w:val="center"/>
          </w:tcPr>
          <w:p>
            <w:pPr>
              <w:jc w:val="both"/>
              <w:rPr>
                <w:rFonts w:hint="eastAsia"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完善诊改工作制度和评价激励机制，制定实施2022年诊改工作方案，将学校“十四五”规划和学校重点工作逐项细化时间表、路线图，做到定期跟踪调度，以全省诊改工作“样板校”成效亮相全国高职院校诊改经验交流会。</w:t>
            </w:r>
          </w:p>
        </w:tc>
        <w:tc>
          <w:tcPr>
            <w:tcW w:w="1695" w:type="dxa"/>
            <w:vAlign w:val="center"/>
          </w:tcPr>
          <w:p>
            <w:pPr>
              <w:jc w:val="center"/>
              <w:rPr>
                <w:rFonts w:hint="eastAsia" w:ascii="仿宋" w:hAnsi="仿宋" w:eastAsia="仿宋" w:cs="仿宋"/>
                <w:color w:val="auto"/>
                <w:spacing w:val="0"/>
                <w:sz w:val="24"/>
                <w:szCs w:val="24"/>
                <w:vertAlign w:val="baseline"/>
                <w:lang w:eastAsia="zh-CN"/>
              </w:rPr>
            </w:pPr>
            <w:r>
              <w:rPr>
                <w:rFonts w:hint="eastAsia" w:ascii="仿宋" w:hAnsi="仿宋" w:eastAsia="仿宋" w:cs="仿宋"/>
                <w:color w:val="auto"/>
                <w:spacing w:val="0"/>
                <w:sz w:val="24"/>
                <w:szCs w:val="24"/>
                <w:vertAlign w:val="baseline"/>
                <w:lang w:val="en-US" w:eastAsia="zh-CN"/>
              </w:rPr>
              <w:t>发展规划处</w:t>
            </w:r>
          </w:p>
        </w:tc>
        <w:tc>
          <w:tcPr>
            <w:tcW w:w="2280" w:type="dxa"/>
            <w:vAlign w:val="center"/>
          </w:tcPr>
          <w:p>
            <w:pPr>
              <w:jc w:val="center"/>
              <w:rPr>
                <w:rFonts w:hint="eastAsia"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各二级学院、各部门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atLeast"/>
        </w:trPr>
        <w:tc>
          <w:tcPr>
            <w:tcW w:w="1185" w:type="dxa"/>
            <w:vMerge w:val="restart"/>
            <w:vAlign w:val="center"/>
          </w:tcPr>
          <w:p>
            <w:pPr>
              <w:jc w:val="center"/>
              <w:rPr>
                <w:rFonts w:hint="eastAsia" w:ascii="仿宋" w:hAnsi="仿宋" w:eastAsia="仿宋" w:cs="仿宋"/>
                <w:color w:val="auto"/>
                <w:spacing w:val="0"/>
                <w:sz w:val="24"/>
                <w:szCs w:val="24"/>
                <w:vertAlign w:val="baseline"/>
                <w:lang w:eastAsia="zh-CN"/>
              </w:rPr>
            </w:pPr>
            <w:r>
              <w:rPr>
                <w:rFonts w:hint="eastAsia" w:ascii="仿宋" w:hAnsi="仿宋" w:eastAsia="仿宋" w:cs="仿宋"/>
                <w:color w:val="auto"/>
                <w:spacing w:val="0"/>
                <w:sz w:val="24"/>
                <w:szCs w:val="24"/>
                <w:vertAlign w:val="baseline"/>
                <w:lang w:val="en-US" w:eastAsia="zh-CN"/>
              </w:rPr>
              <w:t>（十五）打造高素质双师型教师队伍</w:t>
            </w:r>
          </w:p>
        </w:tc>
        <w:tc>
          <w:tcPr>
            <w:tcW w:w="645" w:type="dxa"/>
            <w:vAlign w:val="center"/>
          </w:tcPr>
          <w:p>
            <w:pPr>
              <w:jc w:val="center"/>
              <w:rPr>
                <w:rFonts w:hint="default"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61</w:t>
            </w:r>
          </w:p>
        </w:tc>
        <w:tc>
          <w:tcPr>
            <w:tcW w:w="8963" w:type="dxa"/>
            <w:vAlign w:val="center"/>
          </w:tcPr>
          <w:p>
            <w:pPr>
              <w:jc w:val="both"/>
              <w:rPr>
                <w:rFonts w:hint="eastAsia"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落实学校“十四五”师资队伍建设规划，完成引进博士5名以上，加大高技能人才和企业兼职教师的引进力度，优化师资队伍结构，“双师型”教师占比增加10%，推进并完成学年度教师层诊改，建立个人业务档案，完善教师成长个人画像，落实“职业院校教师素质提高计划”。</w:t>
            </w:r>
          </w:p>
        </w:tc>
        <w:tc>
          <w:tcPr>
            <w:tcW w:w="1695" w:type="dxa"/>
            <w:vAlign w:val="center"/>
          </w:tcPr>
          <w:p>
            <w:pPr>
              <w:jc w:val="center"/>
              <w:rPr>
                <w:rFonts w:hint="default"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人事处</w:t>
            </w:r>
          </w:p>
        </w:tc>
        <w:tc>
          <w:tcPr>
            <w:tcW w:w="2280" w:type="dxa"/>
            <w:vAlign w:val="center"/>
          </w:tcPr>
          <w:p>
            <w:pPr>
              <w:jc w:val="center"/>
              <w:rPr>
                <w:rFonts w:hint="eastAsia"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教务处</w:t>
            </w:r>
          </w:p>
          <w:p>
            <w:pPr>
              <w:jc w:val="center"/>
              <w:rPr>
                <w:rFonts w:hint="eastAsia"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发展规划处</w:t>
            </w:r>
          </w:p>
          <w:p>
            <w:pPr>
              <w:jc w:val="center"/>
              <w:rPr>
                <w:rFonts w:hint="eastAsia"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各二级学院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85" w:type="dxa"/>
            <w:vMerge w:val="continue"/>
            <w:vAlign w:val="center"/>
          </w:tcPr>
          <w:p>
            <w:pPr>
              <w:jc w:val="center"/>
              <w:rPr>
                <w:rFonts w:hint="eastAsia" w:ascii="仿宋" w:hAnsi="仿宋" w:eastAsia="仿宋" w:cs="仿宋"/>
                <w:color w:val="auto"/>
                <w:spacing w:val="0"/>
                <w:sz w:val="24"/>
                <w:szCs w:val="24"/>
                <w:vertAlign w:val="baseline"/>
                <w:lang w:eastAsia="zh-CN"/>
              </w:rPr>
            </w:pPr>
          </w:p>
        </w:tc>
        <w:tc>
          <w:tcPr>
            <w:tcW w:w="645" w:type="dxa"/>
            <w:vAlign w:val="center"/>
          </w:tcPr>
          <w:p>
            <w:pPr>
              <w:jc w:val="center"/>
              <w:rPr>
                <w:rFonts w:hint="default"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62</w:t>
            </w:r>
          </w:p>
        </w:tc>
        <w:tc>
          <w:tcPr>
            <w:tcW w:w="8963" w:type="dxa"/>
            <w:vAlign w:val="center"/>
          </w:tcPr>
          <w:p>
            <w:pPr>
              <w:jc w:val="both"/>
              <w:rPr>
                <w:rFonts w:hint="eastAsia"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制定与实施教师培养方案，支持中青年骨干教师到国内外重点大学和科研院所访学、进修、攻读博士学位不少于5人,教师下企业锻炼年度轮训数不少于130人，强化教师教学、科研能力提升。</w:t>
            </w:r>
          </w:p>
        </w:tc>
        <w:tc>
          <w:tcPr>
            <w:tcW w:w="1695" w:type="dxa"/>
            <w:vAlign w:val="center"/>
          </w:tcPr>
          <w:p>
            <w:pPr>
              <w:jc w:val="center"/>
              <w:rPr>
                <w:rFonts w:hint="eastAsia" w:ascii="仿宋" w:hAnsi="仿宋" w:eastAsia="仿宋" w:cs="仿宋"/>
                <w:color w:val="auto"/>
                <w:spacing w:val="0"/>
                <w:sz w:val="24"/>
                <w:szCs w:val="24"/>
                <w:vertAlign w:val="baseline"/>
                <w:lang w:eastAsia="zh-CN"/>
              </w:rPr>
            </w:pPr>
            <w:r>
              <w:rPr>
                <w:rFonts w:hint="eastAsia" w:ascii="仿宋" w:hAnsi="仿宋" w:eastAsia="仿宋" w:cs="仿宋"/>
                <w:color w:val="auto"/>
                <w:spacing w:val="0"/>
                <w:sz w:val="24"/>
                <w:szCs w:val="24"/>
                <w:vertAlign w:val="baseline"/>
                <w:lang w:val="en-US" w:eastAsia="zh-CN"/>
              </w:rPr>
              <w:t>人事处</w:t>
            </w:r>
          </w:p>
        </w:tc>
        <w:tc>
          <w:tcPr>
            <w:tcW w:w="2280" w:type="dxa"/>
            <w:vAlign w:val="center"/>
          </w:tcPr>
          <w:p>
            <w:pPr>
              <w:jc w:val="center"/>
              <w:rPr>
                <w:rFonts w:hint="eastAsia"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教务处</w:t>
            </w:r>
          </w:p>
          <w:p>
            <w:pPr>
              <w:jc w:val="center"/>
              <w:rPr>
                <w:rFonts w:hint="eastAsia"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国际合作交流中心</w:t>
            </w:r>
          </w:p>
          <w:p>
            <w:pPr>
              <w:jc w:val="center"/>
              <w:rPr>
                <w:rFonts w:hint="eastAsia"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科研处、各二级学院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85" w:type="dxa"/>
            <w:vMerge w:val="continue"/>
            <w:vAlign w:val="center"/>
          </w:tcPr>
          <w:p>
            <w:pPr>
              <w:jc w:val="center"/>
              <w:rPr>
                <w:rFonts w:hint="eastAsia" w:ascii="仿宋" w:hAnsi="仿宋" w:eastAsia="仿宋" w:cs="仿宋"/>
                <w:color w:val="auto"/>
                <w:spacing w:val="0"/>
                <w:sz w:val="24"/>
                <w:szCs w:val="24"/>
                <w:vertAlign w:val="baseline"/>
                <w:lang w:eastAsia="zh-CN"/>
              </w:rPr>
            </w:pPr>
          </w:p>
        </w:tc>
        <w:tc>
          <w:tcPr>
            <w:tcW w:w="645" w:type="dxa"/>
            <w:vAlign w:val="center"/>
          </w:tcPr>
          <w:p>
            <w:pPr>
              <w:jc w:val="center"/>
              <w:rPr>
                <w:rFonts w:hint="default"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63</w:t>
            </w:r>
          </w:p>
        </w:tc>
        <w:tc>
          <w:tcPr>
            <w:tcW w:w="8963" w:type="dxa"/>
            <w:vAlign w:val="center"/>
          </w:tcPr>
          <w:p>
            <w:pPr>
              <w:jc w:val="both"/>
              <w:rPr>
                <w:rFonts w:hint="eastAsia"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完善专业和课程带头人实施办法并完成遴选和年度考核工作，推动“双师”团队建设和课程群优秀团队建设，新增省级教学团队3-4个。</w:t>
            </w:r>
          </w:p>
        </w:tc>
        <w:tc>
          <w:tcPr>
            <w:tcW w:w="1695" w:type="dxa"/>
            <w:vAlign w:val="center"/>
          </w:tcPr>
          <w:p>
            <w:pPr>
              <w:jc w:val="center"/>
              <w:rPr>
                <w:rFonts w:hint="eastAsia" w:ascii="仿宋" w:hAnsi="仿宋" w:eastAsia="仿宋" w:cs="仿宋"/>
                <w:color w:val="auto"/>
                <w:spacing w:val="0"/>
                <w:sz w:val="24"/>
                <w:szCs w:val="24"/>
                <w:vertAlign w:val="baseline"/>
                <w:lang w:eastAsia="zh-CN"/>
              </w:rPr>
            </w:pPr>
            <w:r>
              <w:rPr>
                <w:rFonts w:hint="eastAsia" w:ascii="仿宋" w:hAnsi="仿宋" w:eastAsia="仿宋" w:cs="仿宋"/>
                <w:color w:val="auto"/>
                <w:spacing w:val="0"/>
                <w:sz w:val="24"/>
                <w:szCs w:val="24"/>
                <w:vertAlign w:val="baseline"/>
                <w:lang w:val="en-US" w:eastAsia="zh-CN"/>
              </w:rPr>
              <w:t>教务处</w:t>
            </w:r>
          </w:p>
        </w:tc>
        <w:tc>
          <w:tcPr>
            <w:tcW w:w="2280" w:type="dxa"/>
            <w:vAlign w:val="center"/>
          </w:tcPr>
          <w:p>
            <w:pPr>
              <w:jc w:val="center"/>
              <w:rPr>
                <w:rFonts w:hint="eastAsia"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各二级学院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85" w:type="dxa"/>
            <w:vMerge w:val="continue"/>
            <w:vAlign w:val="center"/>
          </w:tcPr>
          <w:p>
            <w:pPr>
              <w:jc w:val="center"/>
              <w:rPr>
                <w:rFonts w:hint="eastAsia" w:ascii="仿宋" w:hAnsi="仿宋" w:eastAsia="仿宋" w:cs="仿宋"/>
                <w:color w:val="auto"/>
                <w:spacing w:val="0"/>
                <w:sz w:val="24"/>
                <w:szCs w:val="24"/>
                <w:vertAlign w:val="baseline"/>
                <w:lang w:eastAsia="zh-CN"/>
              </w:rPr>
            </w:pPr>
          </w:p>
        </w:tc>
        <w:tc>
          <w:tcPr>
            <w:tcW w:w="645" w:type="dxa"/>
            <w:vAlign w:val="center"/>
          </w:tcPr>
          <w:p>
            <w:pPr>
              <w:jc w:val="center"/>
              <w:rPr>
                <w:rFonts w:hint="default"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64</w:t>
            </w:r>
          </w:p>
        </w:tc>
        <w:tc>
          <w:tcPr>
            <w:tcW w:w="8963" w:type="dxa"/>
            <w:vAlign w:val="center"/>
          </w:tcPr>
          <w:p>
            <w:pPr>
              <w:jc w:val="both"/>
              <w:rPr>
                <w:rFonts w:hint="eastAsia"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积极开展国家级“双师型”教师培养培训基地、校企共建“双师型”教师培训基地的申报和建设工作。</w:t>
            </w:r>
          </w:p>
        </w:tc>
        <w:tc>
          <w:tcPr>
            <w:tcW w:w="1695" w:type="dxa"/>
            <w:vAlign w:val="center"/>
          </w:tcPr>
          <w:p>
            <w:pPr>
              <w:jc w:val="center"/>
              <w:rPr>
                <w:rFonts w:hint="default"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教务处</w:t>
            </w:r>
          </w:p>
        </w:tc>
        <w:tc>
          <w:tcPr>
            <w:tcW w:w="2280" w:type="dxa"/>
            <w:vAlign w:val="center"/>
          </w:tcPr>
          <w:p>
            <w:pPr>
              <w:jc w:val="center"/>
              <w:rPr>
                <w:rFonts w:hint="eastAsia"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开放教育学院</w:t>
            </w:r>
          </w:p>
          <w:p>
            <w:pPr>
              <w:jc w:val="center"/>
              <w:rPr>
                <w:rFonts w:hint="eastAsia"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各二级学院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85" w:type="dxa"/>
            <w:vMerge w:val="continue"/>
            <w:vAlign w:val="center"/>
          </w:tcPr>
          <w:p>
            <w:pPr>
              <w:jc w:val="center"/>
              <w:rPr>
                <w:rFonts w:hint="eastAsia" w:ascii="仿宋" w:hAnsi="仿宋" w:eastAsia="仿宋" w:cs="仿宋"/>
                <w:color w:val="auto"/>
                <w:spacing w:val="0"/>
                <w:sz w:val="24"/>
                <w:szCs w:val="24"/>
                <w:vertAlign w:val="baseline"/>
                <w:lang w:eastAsia="zh-CN"/>
              </w:rPr>
            </w:pPr>
          </w:p>
        </w:tc>
        <w:tc>
          <w:tcPr>
            <w:tcW w:w="645" w:type="dxa"/>
            <w:vAlign w:val="center"/>
          </w:tcPr>
          <w:p>
            <w:pPr>
              <w:jc w:val="center"/>
              <w:rPr>
                <w:rFonts w:hint="default"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65</w:t>
            </w:r>
          </w:p>
        </w:tc>
        <w:tc>
          <w:tcPr>
            <w:tcW w:w="8963" w:type="dxa"/>
            <w:vAlign w:val="center"/>
          </w:tcPr>
          <w:p>
            <w:pPr>
              <w:jc w:val="both"/>
              <w:rPr>
                <w:rFonts w:hint="eastAsia"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落实教育部关于完善高校教师思想政治和师德师风建设工作体制机制的指导意见，推进教师考核评价改革，强化教师思想政治素质考察。</w:t>
            </w:r>
          </w:p>
        </w:tc>
        <w:tc>
          <w:tcPr>
            <w:tcW w:w="1695" w:type="dxa"/>
            <w:vAlign w:val="center"/>
          </w:tcPr>
          <w:p>
            <w:pPr>
              <w:jc w:val="center"/>
              <w:rPr>
                <w:rFonts w:hint="default"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人事处</w:t>
            </w:r>
          </w:p>
        </w:tc>
        <w:tc>
          <w:tcPr>
            <w:tcW w:w="2280" w:type="dxa"/>
            <w:vAlign w:val="center"/>
          </w:tcPr>
          <w:p>
            <w:pPr>
              <w:jc w:val="center"/>
              <w:rPr>
                <w:rFonts w:hint="eastAsia"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教务处、科研处</w:t>
            </w:r>
          </w:p>
          <w:p>
            <w:pPr>
              <w:jc w:val="center"/>
              <w:rPr>
                <w:rFonts w:hint="eastAsia" w:ascii="仿宋" w:hAnsi="仿宋" w:eastAsia="仿宋" w:cs="仿宋"/>
                <w:color w:val="auto"/>
                <w:spacing w:val="-17"/>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组织部、</w:t>
            </w:r>
            <w:r>
              <w:rPr>
                <w:rFonts w:hint="eastAsia" w:ascii="仿宋" w:hAnsi="仿宋" w:eastAsia="仿宋" w:cs="仿宋"/>
                <w:color w:val="auto"/>
                <w:spacing w:val="-17"/>
                <w:sz w:val="24"/>
                <w:szCs w:val="24"/>
                <w:vertAlign w:val="baseline"/>
                <w:lang w:val="en-US" w:eastAsia="zh-CN"/>
              </w:rPr>
              <w:t>宣传统战部</w:t>
            </w:r>
          </w:p>
          <w:p>
            <w:pPr>
              <w:jc w:val="center"/>
              <w:rPr>
                <w:rFonts w:hint="eastAsia"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纪委综合办、工会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85" w:type="dxa"/>
            <w:vMerge w:val="continue"/>
            <w:vAlign w:val="center"/>
          </w:tcPr>
          <w:p>
            <w:pPr>
              <w:jc w:val="center"/>
              <w:rPr>
                <w:rFonts w:hint="eastAsia" w:ascii="仿宋" w:hAnsi="仿宋" w:eastAsia="仿宋" w:cs="仿宋"/>
                <w:color w:val="auto"/>
                <w:spacing w:val="0"/>
                <w:sz w:val="24"/>
                <w:szCs w:val="24"/>
                <w:vertAlign w:val="baseline"/>
                <w:lang w:eastAsia="zh-CN"/>
              </w:rPr>
            </w:pPr>
          </w:p>
        </w:tc>
        <w:tc>
          <w:tcPr>
            <w:tcW w:w="645" w:type="dxa"/>
            <w:vAlign w:val="center"/>
          </w:tcPr>
          <w:p>
            <w:pPr>
              <w:jc w:val="center"/>
              <w:rPr>
                <w:rFonts w:hint="default"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66</w:t>
            </w:r>
          </w:p>
        </w:tc>
        <w:tc>
          <w:tcPr>
            <w:tcW w:w="8963" w:type="dxa"/>
            <w:vAlign w:val="center"/>
          </w:tcPr>
          <w:p>
            <w:pPr>
              <w:jc w:val="both"/>
              <w:rPr>
                <w:rFonts w:hint="eastAsia"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做好第38个教师节系列庆祝活动，选树优秀教师典型。</w:t>
            </w:r>
          </w:p>
        </w:tc>
        <w:tc>
          <w:tcPr>
            <w:tcW w:w="1695" w:type="dxa"/>
            <w:vAlign w:val="center"/>
          </w:tcPr>
          <w:p>
            <w:pPr>
              <w:jc w:val="center"/>
              <w:rPr>
                <w:rFonts w:hint="default"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教务处</w:t>
            </w:r>
          </w:p>
        </w:tc>
        <w:tc>
          <w:tcPr>
            <w:tcW w:w="2280" w:type="dxa"/>
            <w:vAlign w:val="center"/>
          </w:tcPr>
          <w:p>
            <w:pPr>
              <w:jc w:val="center"/>
              <w:rPr>
                <w:rFonts w:hint="eastAsia"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人事处、宣传统战部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85" w:type="dxa"/>
            <w:vMerge w:val="restart"/>
            <w:vAlign w:val="center"/>
          </w:tcPr>
          <w:p>
            <w:pPr>
              <w:jc w:val="center"/>
              <w:rPr>
                <w:rFonts w:hint="eastAsia" w:ascii="仿宋" w:hAnsi="仿宋" w:eastAsia="仿宋" w:cs="仿宋"/>
                <w:color w:val="auto"/>
                <w:spacing w:val="0"/>
                <w:sz w:val="24"/>
                <w:szCs w:val="24"/>
                <w:vertAlign w:val="baseline"/>
                <w:lang w:eastAsia="zh-CN"/>
              </w:rPr>
            </w:pPr>
            <w:r>
              <w:rPr>
                <w:rFonts w:hint="eastAsia" w:ascii="仿宋" w:hAnsi="仿宋" w:eastAsia="仿宋" w:cs="仿宋"/>
                <w:color w:val="auto"/>
                <w:spacing w:val="0"/>
                <w:sz w:val="24"/>
                <w:szCs w:val="24"/>
                <w:vertAlign w:val="baseline"/>
                <w:lang w:val="en-US" w:eastAsia="zh-CN"/>
              </w:rPr>
              <w:t>（十六）加快教学信息化建设</w:t>
            </w:r>
          </w:p>
        </w:tc>
        <w:tc>
          <w:tcPr>
            <w:tcW w:w="645" w:type="dxa"/>
            <w:vAlign w:val="center"/>
          </w:tcPr>
          <w:p>
            <w:pPr>
              <w:jc w:val="center"/>
              <w:rPr>
                <w:rFonts w:hint="default"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67</w:t>
            </w:r>
          </w:p>
        </w:tc>
        <w:tc>
          <w:tcPr>
            <w:tcW w:w="8963" w:type="dxa"/>
            <w:vAlign w:val="center"/>
          </w:tcPr>
          <w:p>
            <w:pPr>
              <w:jc w:val="both"/>
              <w:rPr>
                <w:rFonts w:hint="eastAsia"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对标全国信息化标杆校建设要求，高标准落实相关建设指标，强化数字教学、数字资源、数字实训、数字育人、智能管理和敏捷服务，加强数据中心对学校办学基本数据、教师教学数据、学生数据等方面的采集、分析与可视化呈现，结合学校实际补足短板弱项，力争成功申报信息化标杆校。</w:t>
            </w:r>
          </w:p>
        </w:tc>
        <w:tc>
          <w:tcPr>
            <w:tcW w:w="1695" w:type="dxa"/>
            <w:vAlign w:val="center"/>
          </w:tcPr>
          <w:p>
            <w:pPr>
              <w:jc w:val="center"/>
              <w:rPr>
                <w:rFonts w:hint="default"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现教中心</w:t>
            </w:r>
          </w:p>
        </w:tc>
        <w:tc>
          <w:tcPr>
            <w:tcW w:w="2280" w:type="dxa"/>
            <w:vAlign w:val="center"/>
          </w:tcPr>
          <w:p>
            <w:pPr>
              <w:jc w:val="center"/>
              <w:rPr>
                <w:rFonts w:hint="eastAsia"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教务处、</w:t>
            </w:r>
            <w:r>
              <w:rPr>
                <w:rFonts w:hint="eastAsia" w:ascii="仿宋" w:hAnsi="仿宋" w:eastAsia="仿宋" w:cs="仿宋"/>
                <w:color w:val="auto"/>
                <w:spacing w:val="-17"/>
                <w:sz w:val="24"/>
                <w:szCs w:val="24"/>
                <w:vertAlign w:val="baseline"/>
                <w:lang w:val="en-US" w:eastAsia="zh-CN"/>
              </w:rPr>
              <w:t>发展规划处</w:t>
            </w:r>
            <w:r>
              <w:rPr>
                <w:rFonts w:hint="eastAsia" w:ascii="仿宋" w:hAnsi="仿宋" w:eastAsia="仿宋" w:cs="仿宋"/>
                <w:color w:val="auto"/>
                <w:spacing w:val="0"/>
                <w:sz w:val="24"/>
                <w:szCs w:val="24"/>
                <w:vertAlign w:val="baseline"/>
                <w:lang w:val="en-US" w:eastAsia="zh-CN"/>
              </w:rPr>
              <w:t>各二级学院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85" w:type="dxa"/>
            <w:vMerge w:val="continue"/>
            <w:vAlign w:val="center"/>
          </w:tcPr>
          <w:p>
            <w:pPr>
              <w:jc w:val="center"/>
              <w:rPr>
                <w:rFonts w:hint="eastAsia" w:ascii="仿宋" w:hAnsi="仿宋" w:eastAsia="仿宋" w:cs="仿宋"/>
                <w:color w:val="auto"/>
                <w:spacing w:val="0"/>
                <w:sz w:val="24"/>
                <w:szCs w:val="24"/>
                <w:vertAlign w:val="baseline"/>
                <w:lang w:eastAsia="zh-CN"/>
              </w:rPr>
            </w:pPr>
          </w:p>
        </w:tc>
        <w:tc>
          <w:tcPr>
            <w:tcW w:w="645" w:type="dxa"/>
            <w:vAlign w:val="center"/>
          </w:tcPr>
          <w:p>
            <w:pPr>
              <w:jc w:val="center"/>
              <w:rPr>
                <w:rFonts w:hint="default"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68</w:t>
            </w:r>
          </w:p>
        </w:tc>
        <w:tc>
          <w:tcPr>
            <w:tcW w:w="8963" w:type="dxa"/>
            <w:vAlign w:val="center"/>
          </w:tcPr>
          <w:p>
            <w:pPr>
              <w:jc w:val="both"/>
              <w:rPr>
                <w:rFonts w:hint="eastAsia"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升级数据中心，建设移动门户，整合各类工作业务APP，实现业务系统信息交互，进一步消除信息孤岛。</w:t>
            </w:r>
          </w:p>
        </w:tc>
        <w:tc>
          <w:tcPr>
            <w:tcW w:w="1695" w:type="dxa"/>
            <w:vAlign w:val="center"/>
          </w:tcPr>
          <w:p>
            <w:pPr>
              <w:jc w:val="center"/>
              <w:rPr>
                <w:rFonts w:hint="eastAsia" w:ascii="仿宋" w:hAnsi="仿宋" w:eastAsia="仿宋" w:cs="仿宋"/>
                <w:color w:val="auto"/>
                <w:spacing w:val="0"/>
                <w:sz w:val="24"/>
                <w:szCs w:val="24"/>
                <w:vertAlign w:val="baseline"/>
                <w:lang w:eastAsia="zh-CN"/>
              </w:rPr>
            </w:pPr>
            <w:r>
              <w:rPr>
                <w:rFonts w:hint="eastAsia" w:ascii="仿宋" w:hAnsi="仿宋" w:eastAsia="仿宋" w:cs="仿宋"/>
                <w:color w:val="auto"/>
                <w:spacing w:val="0"/>
                <w:sz w:val="24"/>
                <w:szCs w:val="24"/>
                <w:vertAlign w:val="baseline"/>
                <w:lang w:val="en-US" w:eastAsia="zh-CN"/>
              </w:rPr>
              <w:t>现教中心</w:t>
            </w:r>
          </w:p>
        </w:tc>
        <w:tc>
          <w:tcPr>
            <w:tcW w:w="2280" w:type="dxa"/>
            <w:vAlign w:val="center"/>
          </w:tcPr>
          <w:p>
            <w:pPr>
              <w:jc w:val="center"/>
              <w:rPr>
                <w:rFonts w:hint="eastAsia"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各二级学院</w:t>
            </w:r>
          </w:p>
          <w:p>
            <w:pPr>
              <w:jc w:val="center"/>
              <w:rPr>
                <w:rFonts w:hint="default"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各部门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85" w:type="dxa"/>
            <w:vMerge w:val="continue"/>
            <w:vAlign w:val="center"/>
          </w:tcPr>
          <w:p>
            <w:pPr>
              <w:jc w:val="center"/>
              <w:rPr>
                <w:rFonts w:hint="eastAsia" w:ascii="仿宋" w:hAnsi="仿宋" w:eastAsia="仿宋" w:cs="仿宋"/>
                <w:color w:val="auto"/>
                <w:spacing w:val="0"/>
                <w:sz w:val="24"/>
                <w:szCs w:val="24"/>
                <w:vertAlign w:val="baseline"/>
                <w:lang w:eastAsia="zh-CN"/>
              </w:rPr>
            </w:pPr>
          </w:p>
        </w:tc>
        <w:tc>
          <w:tcPr>
            <w:tcW w:w="645" w:type="dxa"/>
            <w:vAlign w:val="center"/>
          </w:tcPr>
          <w:p>
            <w:pPr>
              <w:jc w:val="center"/>
              <w:rPr>
                <w:rFonts w:hint="default"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69</w:t>
            </w:r>
          </w:p>
        </w:tc>
        <w:tc>
          <w:tcPr>
            <w:tcW w:w="8963" w:type="dxa"/>
            <w:vAlign w:val="center"/>
          </w:tcPr>
          <w:p>
            <w:pPr>
              <w:jc w:val="both"/>
              <w:rPr>
                <w:rFonts w:hint="eastAsia"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eastAsia="zh-CN"/>
              </w:rPr>
              <w:t>落实数字校园规范，推动学校主要业务系统数据分级分类，提升诊改数据采集智能化程度，提高数据自动采集的深度和广度。</w:t>
            </w:r>
          </w:p>
        </w:tc>
        <w:tc>
          <w:tcPr>
            <w:tcW w:w="1695" w:type="dxa"/>
            <w:vAlign w:val="center"/>
          </w:tcPr>
          <w:p>
            <w:pPr>
              <w:jc w:val="center"/>
              <w:rPr>
                <w:rFonts w:hint="eastAsia" w:ascii="仿宋" w:hAnsi="仿宋" w:eastAsia="仿宋" w:cs="仿宋"/>
                <w:color w:val="auto"/>
                <w:spacing w:val="0"/>
                <w:sz w:val="24"/>
                <w:szCs w:val="24"/>
                <w:vertAlign w:val="baseline"/>
                <w:lang w:eastAsia="zh-CN"/>
              </w:rPr>
            </w:pPr>
            <w:r>
              <w:rPr>
                <w:rFonts w:hint="eastAsia" w:ascii="仿宋" w:hAnsi="仿宋" w:eastAsia="仿宋" w:cs="仿宋"/>
                <w:color w:val="auto"/>
                <w:spacing w:val="0"/>
                <w:sz w:val="24"/>
                <w:szCs w:val="24"/>
                <w:vertAlign w:val="baseline"/>
                <w:lang w:val="en-US" w:eastAsia="zh-CN"/>
              </w:rPr>
              <w:t>现教中心</w:t>
            </w:r>
          </w:p>
        </w:tc>
        <w:tc>
          <w:tcPr>
            <w:tcW w:w="2280" w:type="dxa"/>
            <w:vAlign w:val="center"/>
          </w:tcPr>
          <w:p>
            <w:pPr>
              <w:jc w:val="center"/>
              <w:rPr>
                <w:rFonts w:hint="eastAsia"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发展规划处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85" w:type="dxa"/>
            <w:vMerge w:val="continue"/>
            <w:vAlign w:val="center"/>
          </w:tcPr>
          <w:p>
            <w:pPr>
              <w:jc w:val="center"/>
              <w:rPr>
                <w:rFonts w:hint="eastAsia" w:ascii="仿宋" w:hAnsi="仿宋" w:eastAsia="仿宋" w:cs="仿宋"/>
                <w:color w:val="auto"/>
                <w:spacing w:val="0"/>
                <w:sz w:val="24"/>
                <w:szCs w:val="24"/>
                <w:vertAlign w:val="baseline"/>
                <w:lang w:eastAsia="zh-CN"/>
              </w:rPr>
            </w:pPr>
          </w:p>
        </w:tc>
        <w:tc>
          <w:tcPr>
            <w:tcW w:w="645" w:type="dxa"/>
            <w:vAlign w:val="center"/>
          </w:tcPr>
          <w:p>
            <w:pPr>
              <w:jc w:val="center"/>
              <w:rPr>
                <w:rFonts w:hint="default"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70</w:t>
            </w:r>
          </w:p>
        </w:tc>
        <w:tc>
          <w:tcPr>
            <w:tcW w:w="8963" w:type="dxa"/>
            <w:vAlign w:val="center"/>
          </w:tcPr>
          <w:p>
            <w:pPr>
              <w:jc w:val="both"/>
              <w:rPr>
                <w:rFonts w:hint="eastAsia"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积极回应各部门和教学单位需求，着力开发旅商OA网上工作流程。</w:t>
            </w:r>
          </w:p>
        </w:tc>
        <w:tc>
          <w:tcPr>
            <w:tcW w:w="1695" w:type="dxa"/>
            <w:vAlign w:val="center"/>
          </w:tcPr>
          <w:p>
            <w:pPr>
              <w:jc w:val="center"/>
              <w:rPr>
                <w:rFonts w:hint="eastAsia" w:ascii="仿宋" w:hAnsi="仿宋" w:eastAsia="仿宋" w:cs="仿宋"/>
                <w:color w:val="auto"/>
                <w:spacing w:val="0"/>
                <w:sz w:val="24"/>
                <w:szCs w:val="24"/>
                <w:vertAlign w:val="baseline"/>
                <w:lang w:eastAsia="zh-CN"/>
              </w:rPr>
            </w:pPr>
            <w:r>
              <w:rPr>
                <w:rFonts w:hint="eastAsia" w:ascii="仿宋" w:hAnsi="仿宋" w:eastAsia="仿宋" w:cs="仿宋"/>
                <w:color w:val="auto"/>
                <w:spacing w:val="0"/>
                <w:sz w:val="24"/>
                <w:szCs w:val="24"/>
                <w:vertAlign w:val="baseline"/>
                <w:lang w:val="en-US" w:eastAsia="zh-CN"/>
              </w:rPr>
              <w:t>现教中心</w:t>
            </w:r>
          </w:p>
        </w:tc>
        <w:tc>
          <w:tcPr>
            <w:tcW w:w="2280" w:type="dxa"/>
            <w:vAlign w:val="center"/>
          </w:tcPr>
          <w:p>
            <w:pPr>
              <w:jc w:val="center"/>
              <w:rPr>
                <w:rFonts w:hint="eastAsia"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各二级学院、各部门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85" w:type="dxa"/>
            <w:vMerge w:val="continue"/>
            <w:vAlign w:val="center"/>
          </w:tcPr>
          <w:p>
            <w:pPr>
              <w:jc w:val="center"/>
              <w:rPr>
                <w:rFonts w:hint="eastAsia" w:ascii="仿宋" w:hAnsi="仿宋" w:eastAsia="仿宋" w:cs="仿宋"/>
                <w:color w:val="auto"/>
                <w:spacing w:val="0"/>
                <w:sz w:val="24"/>
                <w:szCs w:val="24"/>
                <w:vertAlign w:val="baseline"/>
                <w:lang w:eastAsia="zh-CN"/>
              </w:rPr>
            </w:pPr>
          </w:p>
        </w:tc>
        <w:tc>
          <w:tcPr>
            <w:tcW w:w="645" w:type="dxa"/>
            <w:vAlign w:val="center"/>
          </w:tcPr>
          <w:p>
            <w:pPr>
              <w:jc w:val="center"/>
              <w:rPr>
                <w:rFonts w:hint="default"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71</w:t>
            </w:r>
          </w:p>
        </w:tc>
        <w:tc>
          <w:tcPr>
            <w:tcW w:w="8963" w:type="dxa"/>
            <w:vAlign w:val="center"/>
          </w:tcPr>
          <w:p>
            <w:pPr>
              <w:jc w:val="both"/>
              <w:rPr>
                <w:rFonts w:hint="eastAsia"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大力开展信息系统培训工作，整体提升教师信息化水平。</w:t>
            </w:r>
          </w:p>
        </w:tc>
        <w:tc>
          <w:tcPr>
            <w:tcW w:w="1695" w:type="dxa"/>
            <w:vAlign w:val="center"/>
          </w:tcPr>
          <w:p>
            <w:pPr>
              <w:jc w:val="center"/>
              <w:rPr>
                <w:rFonts w:hint="eastAsia" w:ascii="仿宋" w:hAnsi="仿宋" w:eastAsia="仿宋" w:cs="仿宋"/>
                <w:color w:val="auto"/>
                <w:spacing w:val="0"/>
                <w:sz w:val="24"/>
                <w:szCs w:val="24"/>
                <w:vertAlign w:val="baseline"/>
                <w:lang w:eastAsia="zh-CN"/>
              </w:rPr>
            </w:pPr>
            <w:r>
              <w:rPr>
                <w:rFonts w:hint="eastAsia" w:ascii="仿宋" w:hAnsi="仿宋" w:eastAsia="仿宋" w:cs="仿宋"/>
                <w:color w:val="auto"/>
                <w:spacing w:val="0"/>
                <w:sz w:val="24"/>
                <w:szCs w:val="24"/>
                <w:vertAlign w:val="baseline"/>
                <w:lang w:val="en-US" w:eastAsia="zh-CN"/>
              </w:rPr>
              <w:t>现教中心</w:t>
            </w:r>
          </w:p>
        </w:tc>
        <w:tc>
          <w:tcPr>
            <w:tcW w:w="2280" w:type="dxa"/>
            <w:vAlign w:val="center"/>
          </w:tcPr>
          <w:p>
            <w:pPr>
              <w:jc w:val="center"/>
              <w:rPr>
                <w:rFonts w:hint="eastAsia"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各二级学院、各部门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85" w:type="dxa"/>
            <w:vMerge w:val="continue"/>
            <w:vAlign w:val="center"/>
          </w:tcPr>
          <w:p>
            <w:pPr>
              <w:jc w:val="center"/>
              <w:rPr>
                <w:rFonts w:hint="eastAsia" w:ascii="仿宋" w:hAnsi="仿宋" w:eastAsia="仿宋" w:cs="仿宋"/>
                <w:color w:val="auto"/>
                <w:spacing w:val="0"/>
                <w:sz w:val="24"/>
                <w:szCs w:val="24"/>
                <w:vertAlign w:val="baseline"/>
                <w:lang w:eastAsia="zh-CN"/>
              </w:rPr>
            </w:pPr>
          </w:p>
        </w:tc>
        <w:tc>
          <w:tcPr>
            <w:tcW w:w="645" w:type="dxa"/>
            <w:vAlign w:val="center"/>
          </w:tcPr>
          <w:p>
            <w:pPr>
              <w:jc w:val="center"/>
              <w:rPr>
                <w:rFonts w:hint="default"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72</w:t>
            </w:r>
          </w:p>
        </w:tc>
        <w:tc>
          <w:tcPr>
            <w:tcW w:w="8963" w:type="dxa"/>
            <w:vAlign w:val="center"/>
          </w:tcPr>
          <w:p>
            <w:pPr>
              <w:jc w:val="both"/>
              <w:rPr>
                <w:rFonts w:hint="eastAsia"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健全网络安全工作机制，定期对业务系统漏洞扫描、安全检测，提升网络安全保障能力和应急响应能力。</w:t>
            </w:r>
          </w:p>
        </w:tc>
        <w:tc>
          <w:tcPr>
            <w:tcW w:w="1695" w:type="dxa"/>
            <w:vAlign w:val="center"/>
          </w:tcPr>
          <w:p>
            <w:pPr>
              <w:jc w:val="center"/>
              <w:rPr>
                <w:rFonts w:hint="eastAsia" w:ascii="仿宋" w:hAnsi="仿宋" w:eastAsia="仿宋" w:cs="仿宋"/>
                <w:color w:val="auto"/>
                <w:spacing w:val="0"/>
                <w:sz w:val="24"/>
                <w:szCs w:val="24"/>
                <w:vertAlign w:val="baseline"/>
                <w:lang w:eastAsia="zh-CN"/>
              </w:rPr>
            </w:pPr>
            <w:r>
              <w:rPr>
                <w:rFonts w:hint="eastAsia" w:ascii="仿宋" w:hAnsi="仿宋" w:eastAsia="仿宋" w:cs="仿宋"/>
                <w:color w:val="auto"/>
                <w:spacing w:val="0"/>
                <w:sz w:val="24"/>
                <w:szCs w:val="24"/>
                <w:vertAlign w:val="baseline"/>
                <w:lang w:val="en-US" w:eastAsia="zh-CN"/>
              </w:rPr>
              <w:t>现教中心</w:t>
            </w:r>
          </w:p>
        </w:tc>
        <w:tc>
          <w:tcPr>
            <w:tcW w:w="2280" w:type="dxa"/>
            <w:vAlign w:val="center"/>
          </w:tcPr>
          <w:p>
            <w:pPr>
              <w:jc w:val="center"/>
              <w:rPr>
                <w:rFonts w:hint="eastAsia"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各二级学院、各部门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85" w:type="dxa"/>
            <w:vMerge w:val="restart"/>
            <w:vAlign w:val="center"/>
          </w:tcPr>
          <w:p>
            <w:pPr>
              <w:jc w:val="center"/>
              <w:rPr>
                <w:rFonts w:hint="eastAsia" w:ascii="仿宋" w:hAnsi="仿宋" w:eastAsia="仿宋" w:cs="仿宋"/>
                <w:color w:val="auto"/>
                <w:spacing w:val="0"/>
                <w:sz w:val="24"/>
                <w:szCs w:val="24"/>
                <w:vertAlign w:val="baseline"/>
                <w:lang w:eastAsia="zh-CN"/>
              </w:rPr>
            </w:pPr>
            <w:r>
              <w:rPr>
                <w:rFonts w:hint="eastAsia" w:ascii="仿宋" w:hAnsi="仿宋" w:eastAsia="仿宋" w:cs="仿宋"/>
                <w:color w:val="auto"/>
                <w:spacing w:val="0"/>
                <w:sz w:val="24"/>
                <w:szCs w:val="24"/>
                <w:vertAlign w:val="baseline"/>
                <w:lang w:val="en-US" w:eastAsia="zh-CN"/>
              </w:rPr>
              <w:t>（十七）加强国际交流合作</w:t>
            </w:r>
          </w:p>
        </w:tc>
        <w:tc>
          <w:tcPr>
            <w:tcW w:w="645" w:type="dxa"/>
            <w:vAlign w:val="center"/>
          </w:tcPr>
          <w:p>
            <w:pPr>
              <w:jc w:val="center"/>
              <w:rPr>
                <w:rFonts w:hint="default"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73</w:t>
            </w:r>
          </w:p>
        </w:tc>
        <w:tc>
          <w:tcPr>
            <w:tcW w:w="8963" w:type="dxa"/>
            <w:vAlign w:val="center"/>
          </w:tcPr>
          <w:p>
            <w:pPr>
              <w:jc w:val="both"/>
              <w:rPr>
                <w:rFonts w:hint="eastAsia"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拓展与马来西亚、泰国等“一带一路”国家和东盟各国的国际交流合作，进一步推动“中文+职业技能”项目，开展留学生线上教学及汉语培训。</w:t>
            </w:r>
          </w:p>
        </w:tc>
        <w:tc>
          <w:tcPr>
            <w:tcW w:w="1695" w:type="dxa"/>
            <w:vAlign w:val="center"/>
          </w:tcPr>
          <w:p>
            <w:pPr>
              <w:jc w:val="center"/>
              <w:rPr>
                <w:rFonts w:hint="default" w:ascii="仿宋" w:hAnsi="仿宋" w:eastAsia="仿宋" w:cs="仿宋"/>
                <w:color w:val="auto"/>
                <w:spacing w:val="-23"/>
                <w:w w:val="90"/>
                <w:sz w:val="24"/>
                <w:szCs w:val="24"/>
                <w:vertAlign w:val="baseline"/>
                <w:lang w:val="en-US" w:eastAsia="zh-CN"/>
              </w:rPr>
            </w:pPr>
            <w:r>
              <w:rPr>
                <w:rFonts w:hint="eastAsia" w:ascii="仿宋" w:hAnsi="仿宋" w:eastAsia="仿宋" w:cs="仿宋"/>
                <w:color w:val="auto"/>
                <w:spacing w:val="-23"/>
                <w:w w:val="90"/>
                <w:sz w:val="24"/>
                <w:szCs w:val="24"/>
                <w:vertAlign w:val="baseline"/>
                <w:lang w:val="en-US" w:eastAsia="zh-CN"/>
              </w:rPr>
              <w:t>国际合作交流中心</w:t>
            </w:r>
          </w:p>
        </w:tc>
        <w:tc>
          <w:tcPr>
            <w:tcW w:w="2280" w:type="dxa"/>
            <w:vAlign w:val="center"/>
          </w:tcPr>
          <w:p>
            <w:pPr>
              <w:jc w:val="center"/>
              <w:rPr>
                <w:rFonts w:hint="eastAsia"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各二级学院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85" w:type="dxa"/>
            <w:vMerge w:val="continue"/>
            <w:vAlign w:val="center"/>
          </w:tcPr>
          <w:p>
            <w:pPr>
              <w:jc w:val="center"/>
              <w:rPr>
                <w:rFonts w:hint="eastAsia" w:ascii="仿宋" w:hAnsi="仿宋" w:eastAsia="仿宋" w:cs="仿宋"/>
                <w:color w:val="auto"/>
                <w:spacing w:val="0"/>
                <w:sz w:val="24"/>
                <w:szCs w:val="24"/>
                <w:vertAlign w:val="baseline"/>
                <w:lang w:eastAsia="zh-CN"/>
              </w:rPr>
            </w:pPr>
          </w:p>
        </w:tc>
        <w:tc>
          <w:tcPr>
            <w:tcW w:w="645" w:type="dxa"/>
            <w:vAlign w:val="center"/>
          </w:tcPr>
          <w:p>
            <w:pPr>
              <w:jc w:val="center"/>
              <w:rPr>
                <w:rFonts w:hint="default"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74</w:t>
            </w:r>
          </w:p>
        </w:tc>
        <w:tc>
          <w:tcPr>
            <w:tcW w:w="8963" w:type="dxa"/>
            <w:vAlign w:val="center"/>
          </w:tcPr>
          <w:p>
            <w:pPr>
              <w:jc w:val="both"/>
              <w:rPr>
                <w:rFonts w:hint="eastAsia"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依托中泰国际合作项目海外分校和“智能制造领域中外人才文化交流培养基地”项目，开展技术技能境外输出，逐步推进海外“鲁班工坊”建设，完成3-5门课程标准国际认证,1个专业标准输出。</w:t>
            </w:r>
          </w:p>
        </w:tc>
        <w:tc>
          <w:tcPr>
            <w:tcW w:w="1695" w:type="dxa"/>
            <w:vAlign w:val="center"/>
          </w:tcPr>
          <w:p>
            <w:pPr>
              <w:jc w:val="center"/>
              <w:rPr>
                <w:rFonts w:hint="eastAsia" w:ascii="仿宋" w:hAnsi="仿宋" w:eastAsia="仿宋" w:cs="仿宋"/>
                <w:color w:val="auto"/>
                <w:spacing w:val="-23"/>
                <w:w w:val="90"/>
                <w:sz w:val="24"/>
                <w:szCs w:val="24"/>
                <w:vertAlign w:val="baseline"/>
                <w:lang w:eastAsia="zh-CN"/>
              </w:rPr>
            </w:pPr>
            <w:r>
              <w:rPr>
                <w:rFonts w:hint="eastAsia" w:ascii="仿宋" w:hAnsi="仿宋" w:eastAsia="仿宋" w:cs="仿宋"/>
                <w:color w:val="auto"/>
                <w:spacing w:val="-23"/>
                <w:w w:val="90"/>
                <w:sz w:val="24"/>
                <w:szCs w:val="24"/>
                <w:vertAlign w:val="baseline"/>
                <w:lang w:val="en-US" w:eastAsia="zh-CN"/>
              </w:rPr>
              <w:t>国际合作交流中心</w:t>
            </w:r>
          </w:p>
        </w:tc>
        <w:tc>
          <w:tcPr>
            <w:tcW w:w="2280" w:type="dxa"/>
            <w:vAlign w:val="center"/>
          </w:tcPr>
          <w:p>
            <w:pPr>
              <w:jc w:val="center"/>
              <w:rPr>
                <w:rFonts w:hint="eastAsia"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各二级学院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85" w:type="dxa"/>
            <w:vMerge w:val="continue"/>
            <w:vAlign w:val="center"/>
          </w:tcPr>
          <w:p>
            <w:pPr>
              <w:jc w:val="center"/>
              <w:rPr>
                <w:rFonts w:hint="eastAsia" w:ascii="仿宋" w:hAnsi="仿宋" w:eastAsia="仿宋" w:cs="仿宋"/>
                <w:color w:val="auto"/>
                <w:spacing w:val="0"/>
                <w:sz w:val="24"/>
                <w:szCs w:val="24"/>
                <w:vertAlign w:val="baseline"/>
                <w:lang w:eastAsia="zh-CN"/>
              </w:rPr>
            </w:pPr>
          </w:p>
        </w:tc>
        <w:tc>
          <w:tcPr>
            <w:tcW w:w="645" w:type="dxa"/>
            <w:vAlign w:val="center"/>
          </w:tcPr>
          <w:p>
            <w:pPr>
              <w:jc w:val="center"/>
              <w:rPr>
                <w:rFonts w:hint="default"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75</w:t>
            </w:r>
          </w:p>
        </w:tc>
        <w:tc>
          <w:tcPr>
            <w:tcW w:w="8963" w:type="dxa"/>
            <w:vAlign w:val="center"/>
          </w:tcPr>
          <w:p>
            <w:pPr>
              <w:jc w:val="both"/>
              <w:rPr>
                <w:rFonts w:hint="eastAsia"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拓宽学生国际交流渠道，探索与“走出去”企业合作共建海外人才培养基地。</w:t>
            </w:r>
          </w:p>
        </w:tc>
        <w:tc>
          <w:tcPr>
            <w:tcW w:w="1695" w:type="dxa"/>
            <w:vAlign w:val="center"/>
          </w:tcPr>
          <w:p>
            <w:pPr>
              <w:jc w:val="center"/>
              <w:rPr>
                <w:rFonts w:hint="eastAsia" w:ascii="仿宋" w:hAnsi="仿宋" w:eastAsia="仿宋" w:cs="仿宋"/>
                <w:color w:val="auto"/>
                <w:spacing w:val="-23"/>
                <w:w w:val="90"/>
                <w:sz w:val="24"/>
                <w:szCs w:val="24"/>
                <w:vertAlign w:val="baseline"/>
                <w:lang w:eastAsia="zh-CN"/>
              </w:rPr>
            </w:pPr>
            <w:r>
              <w:rPr>
                <w:rFonts w:hint="eastAsia" w:ascii="仿宋" w:hAnsi="仿宋" w:eastAsia="仿宋" w:cs="仿宋"/>
                <w:color w:val="auto"/>
                <w:spacing w:val="-23"/>
                <w:w w:val="90"/>
                <w:sz w:val="24"/>
                <w:szCs w:val="24"/>
                <w:vertAlign w:val="baseline"/>
                <w:lang w:val="en-US" w:eastAsia="zh-CN"/>
              </w:rPr>
              <w:t>国际合作交流中心</w:t>
            </w:r>
          </w:p>
        </w:tc>
        <w:tc>
          <w:tcPr>
            <w:tcW w:w="2280" w:type="dxa"/>
            <w:vAlign w:val="center"/>
          </w:tcPr>
          <w:p>
            <w:pPr>
              <w:jc w:val="center"/>
              <w:rPr>
                <w:rFonts w:hint="eastAsia"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产教融合处</w:t>
            </w:r>
          </w:p>
          <w:p>
            <w:pPr>
              <w:jc w:val="center"/>
              <w:rPr>
                <w:rFonts w:hint="eastAsia"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各二级学院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85" w:type="dxa"/>
            <w:vMerge w:val="continue"/>
            <w:vAlign w:val="center"/>
          </w:tcPr>
          <w:p>
            <w:pPr>
              <w:jc w:val="center"/>
              <w:rPr>
                <w:rFonts w:hint="eastAsia" w:ascii="仿宋" w:hAnsi="仿宋" w:eastAsia="仿宋" w:cs="仿宋"/>
                <w:color w:val="auto"/>
                <w:spacing w:val="0"/>
                <w:sz w:val="24"/>
                <w:szCs w:val="24"/>
                <w:vertAlign w:val="baseline"/>
                <w:lang w:eastAsia="zh-CN"/>
              </w:rPr>
            </w:pPr>
          </w:p>
        </w:tc>
        <w:tc>
          <w:tcPr>
            <w:tcW w:w="645" w:type="dxa"/>
            <w:vAlign w:val="center"/>
          </w:tcPr>
          <w:p>
            <w:pPr>
              <w:jc w:val="center"/>
              <w:rPr>
                <w:rFonts w:hint="default"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76</w:t>
            </w:r>
          </w:p>
        </w:tc>
        <w:tc>
          <w:tcPr>
            <w:tcW w:w="8963" w:type="dxa"/>
            <w:vAlign w:val="center"/>
          </w:tcPr>
          <w:p>
            <w:pPr>
              <w:jc w:val="both"/>
              <w:rPr>
                <w:rFonts w:hint="eastAsia"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优化外籍教师管理和服务，提升中外合作办学质量。</w:t>
            </w:r>
          </w:p>
        </w:tc>
        <w:tc>
          <w:tcPr>
            <w:tcW w:w="1695" w:type="dxa"/>
            <w:vAlign w:val="center"/>
          </w:tcPr>
          <w:p>
            <w:pPr>
              <w:jc w:val="center"/>
              <w:rPr>
                <w:rFonts w:hint="eastAsia" w:ascii="仿宋" w:hAnsi="仿宋" w:eastAsia="仿宋" w:cs="仿宋"/>
                <w:color w:val="auto"/>
                <w:spacing w:val="-23"/>
                <w:w w:val="90"/>
                <w:sz w:val="24"/>
                <w:szCs w:val="24"/>
                <w:vertAlign w:val="baseline"/>
                <w:lang w:eastAsia="zh-CN"/>
              </w:rPr>
            </w:pPr>
            <w:r>
              <w:rPr>
                <w:rFonts w:hint="eastAsia" w:ascii="仿宋" w:hAnsi="仿宋" w:eastAsia="仿宋" w:cs="仿宋"/>
                <w:color w:val="auto"/>
                <w:spacing w:val="-23"/>
                <w:w w:val="90"/>
                <w:sz w:val="24"/>
                <w:szCs w:val="24"/>
                <w:vertAlign w:val="baseline"/>
                <w:lang w:val="en-US" w:eastAsia="zh-CN"/>
              </w:rPr>
              <w:t>国际合作交流中心</w:t>
            </w:r>
          </w:p>
        </w:tc>
        <w:tc>
          <w:tcPr>
            <w:tcW w:w="2280" w:type="dxa"/>
            <w:vAlign w:val="center"/>
          </w:tcPr>
          <w:p>
            <w:pPr>
              <w:jc w:val="center"/>
              <w:rPr>
                <w:rFonts w:hint="eastAsia" w:ascii="仿宋" w:hAnsi="仿宋" w:eastAsia="仿宋" w:cs="仿宋"/>
                <w:color w:val="auto"/>
                <w:spacing w:val="-23"/>
                <w:sz w:val="24"/>
                <w:szCs w:val="24"/>
                <w:vertAlign w:val="baseline"/>
                <w:lang w:val="en-US" w:eastAsia="zh-CN"/>
              </w:rPr>
            </w:pPr>
            <w:r>
              <w:rPr>
                <w:rFonts w:hint="eastAsia" w:ascii="仿宋" w:hAnsi="仿宋" w:eastAsia="仿宋" w:cs="仿宋"/>
                <w:color w:val="auto"/>
                <w:spacing w:val="-23"/>
                <w:sz w:val="24"/>
                <w:szCs w:val="24"/>
                <w:vertAlign w:val="baseline"/>
                <w:lang w:val="en-US" w:eastAsia="zh-CN"/>
              </w:rPr>
              <w:t>人事处、国际商务学院</w:t>
            </w:r>
          </w:p>
          <w:p>
            <w:pPr>
              <w:jc w:val="center"/>
              <w:rPr>
                <w:rFonts w:hint="eastAsia"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旅游学院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85" w:type="dxa"/>
            <w:vMerge w:val="restart"/>
            <w:vAlign w:val="center"/>
          </w:tcPr>
          <w:p>
            <w:pPr>
              <w:jc w:val="center"/>
              <w:rPr>
                <w:rFonts w:hint="eastAsia" w:ascii="仿宋" w:hAnsi="仿宋" w:eastAsia="仿宋" w:cs="仿宋"/>
                <w:color w:val="auto"/>
                <w:spacing w:val="0"/>
                <w:sz w:val="24"/>
                <w:szCs w:val="24"/>
                <w:vertAlign w:val="baseline"/>
                <w:lang w:eastAsia="zh-CN"/>
              </w:rPr>
            </w:pPr>
            <w:r>
              <w:rPr>
                <w:rFonts w:hint="eastAsia" w:ascii="仿宋" w:hAnsi="仿宋" w:eastAsia="仿宋" w:cs="仿宋"/>
                <w:color w:val="auto"/>
                <w:spacing w:val="0"/>
                <w:sz w:val="24"/>
                <w:szCs w:val="24"/>
                <w:vertAlign w:val="baseline"/>
                <w:lang w:val="en-US" w:eastAsia="zh-CN"/>
              </w:rPr>
              <w:t>（十八）提高开放教育供给能力</w:t>
            </w:r>
          </w:p>
        </w:tc>
        <w:tc>
          <w:tcPr>
            <w:tcW w:w="645" w:type="dxa"/>
            <w:vAlign w:val="center"/>
          </w:tcPr>
          <w:p>
            <w:pPr>
              <w:jc w:val="center"/>
              <w:rPr>
                <w:rFonts w:hint="default"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77</w:t>
            </w:r>
          </w:p>
        </w:tc>
        <w:tc>
          <w:tcPr>
            <w:tcW w:w="8963" w:type="dxa"/>
            <w:vAlign w:val="center"/>
          </w:tcPr>
          <w:p>
            <w:pPr>
              <w:jc w:val="both"/>
              <w:rPr>
                <w:rFonts w:hint="eastAsia"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推进</w:t>
            </w:r>
            <w:r>
              <w:rPr>
                <w:rFonts w:hint="eastAsia" w:ascii="仿宋" w:hAnsi="仿宋" w:eastAsia="仿宋" w:cs="仿宋"/>
                <w:color w:val="auto"/>
                <w:spacing w:val="0"/>
                <w:sz w:val="24"/>
                <w:szCs w:val="24"/>
                <w:vertAlign w:val="baseline"/>
                <w:lang w:eastAsia="zh-CN"/>
              </w:rPr>
              <w:t>技能等级认定社会培训评价组织项目建设，联合行业企业共同开展社会培训，培训规模力争达到在校生</w:t>
            </w:r>
            <w:r>
              <w:rPr>
                <w:rFonts w:hint="eastAsia" w:ascii="仿宋" w:hAnsi="仿宋" w:eastAsia="仿宋" w:cs="仿宋"/>
                <w:color w:val="auto"/>
                <w:spacing w:val="0"/>
                <w:sz w:val="24"/>
                <w:szCs w:val="24"/>
                <w:vertAlign w:val="baseline"/>
                <w:lang w:val="en-US" w:eastAsia="zh-CN"/>
              </w:rPr>
              <w:t>2倍以上</w:t>
            </w:r>
            <w:r>
              <w:rPr>
                <w:rFonts w:hint="eastAsia" w:ascii="仿宋" w:hAnsi="仿宋" w:eastAsia="仿宋" w:cs="仿宋"/>
                <w:color w:val="auto"/>
                <w:spacing w:val="0"/>
                <w:sz w:val="24"/>
                <w:szCs w:val="24"/>
                <w:vertAlign w:val="baseline"/>
                <w:lang w:eastAsia="zh-CN"/>
              </w:rPr>
              <w:t>。</w:t>
            </w:r>
          </w:p>
        </w:tc>
        <w:tc>
          <w:tcPr>
            <w:tcW w:w="1695" w:type="dxa"/>
            <w:vAlign w:val="center"/>
          </w:tcPr>
          <w:p>
            <w:pPr>
              <w:jc w:val="center"/>
              <w:rPr>
                <w:rFonts w:hint="default"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开放教育学院</w:t>
            </w:r>
          </w:p>
        </w:tc>
        <w:tc>
          <w:tcPr>
            <w:tcW w:w="2280" w:type="dxa"/>
            <w:vAlign w:val="center"/>
          </w:tcPr>
          <w:p>
            <w:pPr>
              <w:jc w:val="center"/>
              <w:rPr>
                <w:rFonts w:hint="eastAsia"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产教融合处</w:t>
            </w:r>
          </w:p>
          <w:p>
            <w:pPr>
              <w:jc w:val="center"/>
              <w:rPr>
                <w:rFonts w:hint="eastAsia"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各二级学院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85" w:type="dxa"/>
            <w:vMerge w:val="continue"/>
            <w:vAlign w:val="center"/>
          </w:tcPr>
          <w:p>
            <w:pPr>
              <w:jc w:val="center"/>
              <w:rPr>
                <w:rFonts w:hint="eastAsia" w:ascii="仿宋" w:hAnsi="仿宋" w:eastAsia="仿宋" w:cs="仿宋"/>
                <w:color w:val="auto"/>
                <w:spacing w:val="0"/>
                <w:sz w:val="24"/>
                <w:szCs w:val="24"/>
                <w:vertAlign w:val="baseline"/>
                <w:lang w:eastAsia="zh-CN"/>
              </w:rPr>
            </w:pPr>
          </w:p>
        </w:tc>
        <w:tc>
          <w:tcPr>
            <w:tcW w:w="645" w:type="dxa"/>
            <w:vAlign w:val="center"/>
          </w:tcPr>
          <w:p>
            <w:pPr>
              <w:jc w:val="center"/>
              <w:rPr>
                <w:rFonts w:hint="default"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78</w:t>
            </w:r>
          </w:p>
        </w:tc>
        <w:tc>
          <w:tcPr>
            <w:tcW w:w="8963" w:type="dxa"/>
            <w:vAlign w:val="center"/>
          </w:tcPr>
          <w:p>
            <w:pPr>
              <w:jc w:val="both"/>
              <w:rPr>
                <w:rFonts w:hint="eastAsia"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eastAsia="zh-CN"/>
              </w:rPr>
              <w:t>依托省级师资培训基地，扎实做好江西省职业院校教师素质提高计划项目。</w:t>
            </w:r>
          </w:p>
        </w:tc>
        <w:tc>
          <w:tcPr>
            <w:tcW w:w="1695" w:type="dxa"/>
            <w:vAlign w:val="center"/>
          </w:tcPr>
          <w:p>
            <w:pPr>
              <w:jc w:val="center"/>
              <w:rPr>
                <w:rFonts w:hint="eastAsia" w:ascii="仿宋" w:hAnsi="仿宋" w:eastAsia="仿宋" w:cs="仿宋"/>
                <w:color w:val="auto"/>
                <w:spacing w:val="0"/>
                <w:sz w:val="24"/>
                <w:szCs w:val="24"/>
                <w:vertAlign w:val="baseline"/>
                <w:lang w:eastAsia="zh-CN"/>
              </w:rPr>
            </w:pPr>
            <w:r>
              <w:rPr>
                <w:rFonts w:hint="eastAsia" w:ascii="仿宋" w:hAnsi="仿宋" w:eastAsia="仿宋" w:cs="仿宋"/>
                <w:color w:val="auto"/>
                <w:spacing w:val="0"/>
                <w:sz w:val="24"/>
                <w:szCs w:val="24"/>
                <w:vertAlign w:val="baseline"/>
                <w:lang w:val="en-US" w:eastAsia="zh-CN"/>
              </w:rPr>
              <w:t>开放教育学院</w:t>
            </w:r>
          </w:p>
        </w:tc>
        <w:tc>
          <w:tcPr>
            <w:tcW w:w="2280" w:type="dxa"/>
            <w:vAlign w:val="center"/>
          </w:tcPr>
          <w:p>
            <w:pPr>
              <w:jc w:val="center"/>
              <w:rPr>
                <w:rFonts w:hint="eastAsia"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教务处</w:t>
            </w:r>
          </w:p>
          <w:p>
            <w:pPr>
              <w:jc w:val="center"/>
              <w:rPr>
                <w:rFonts w:hint="eastAsia"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人事处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85" w:type="dxa"/>
            <w:vMerge w:val="continue"/>
            <w:vAlign w:val="center"/>
          </w:tcPr>
          <w:p>
            <w:pPr>
              <w:jc w:val="center"/>
              <w:rPr>
                <w:rFonts w:hint="eastAsia" w:ascii="仿宋" w:hAnsi="仿宋" w:eastAsia="仿宋" w:cs="仿宋"/>
                <w:color w:val="auto"/>
                <w:spacing w:val="0"/>
                <w:sz w:val="24"/>
                <w:szCs w:val="24"/>
                <w:vertAlign w:val="baseline"/>
                <w:lang w:eastAsia="zh-CN"/>
              </w:rPr>
            </w:pPr>
          </w:p>
        </w:tc>
        <w:tc>
          <w:tcPr>
            <w:tcW w:w="645" w:type="dxa"/>
            <w:vAlign w:val="center"/>
          </w:tcPr>
          <w:p>
            <w:pPr>
              <w:jc w:val="center"/>
              <w:rPr>
                <w:rFonts w:hint="default"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79</w:t>
            </w:r>
          </w:p>
        </w:tc>
        <w:tc>
          <w:tcPr>
            <w:tcW w:w="8963" w:type="dxa"/>
            <w:vAlign w:val="center"/>
          </w:tcPr>
          <w:p>
            <w:pPr>
              <w:jc w:val="both"/>
              <w:rPr>
                <w:rFonts w:hint="eastAsia"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eastAsia="zh-CN"/>
              </w:rPr>
              <w:t>争取行业主管部门支持，依托第三方评价组织举办职业培训教育，力争实现政府补贴性培训项目零的突破。</w:t>
            </w:r>
          </w:p>
        </w:tc>
        <w:tc>
          <w:tcPr>
            <w:tcW w:w="1695" w:type="dxa"/>
            <w:vAlign w:val="center"/>
          </w:tcPr>
          <w:p>
            <w:pPr>
              <w:jc w:val="center"/>
              <w:rPr>
                <w:rFonts w:hint="eastAsia" w:ascii="仿宋" w:hAnsi="仿宋" w:eastAsia="仿宋" w:cs="仿宋"/>
                <w:color w:val="auto"/>
                <w:spacing w:val="0"/>
                <w:sz w:val="24"/>
                <w:szCs w:val="24"/>
                <w:vertAlign w:val="baseline"/>
                <w:lang w:eastAsia="zh-CN"/>
              </w:rPr>
            </w:pPr>
            <w:r>
              <w:rPr>
                <w:rFonts w:hint="eastAsia" w:ascii="仿宋" w:hAnsi="仿宋" w:eastAsia="仿宋" w:cs="仿宋"/>
                <w:color w:val="auto"/>
                <w:spacing w:val="0"/>
                <w:sz w:val="24"/>
                <w:szCs w:val="24"/>
                <w:vertAlign w:val="baseline"/>
                <w:lang w:val="en-US" w:eastAsia="zh-CN"/>
              </w:rPr>
              <w:t>开放教育学院</w:t>
            </w:r>
          </w:p>
        </w:tc>
        <w:tc>
          <w:tcPr>
            <w:tcW w:w="2280" w:type="dxa"/>
            <w:vAlign w:val="center"/>
          </w:tcPr>
          <w:p>
            <w:pPr>
              <w:jc w:val="center"/>
              <w:rPr>
                <w:rFonts w:hint="eastAsia"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各相关二级学院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85" w:type="dxa"/>
            <w:vMerge w:val="continue"/>
            <w:vAlign w:val="center"/>
          </w:tcPr>
          <w:p>
            <w:pPr>
              <w:jc w:val="center"/>
              <w:rPr>
                <w:rFonts w:hint="eastAsia" w:ascii="仿宋" w:hAnsi="仿宋" w:eastAsia="仿宋" w:cs="仿宋"/>
                <w:color w:val="auto"/>
                <w:spacing w:val="0"/>
                <w:sz w:val="24"/>
                <w:szCs w:val="24"/>
                <w:vertAlign w:val="baseline"/>
                <w:lang w:eastAsia="zh-CN"/>
              </w:rPr>
            </w:pPr>
          </w:p>
        </w:tc>
        <w:tc>
          <w:tcPr>
            <w:tcW w:w="645" w:type="dxa"/>
            <w:vAlign w:val="center"/>
          </w:tcPr>
          <w:p>
            <w:pPr>
              <w:jc w:val="center"/>
              <w:rPr>
                <w:rFonts w:hint="default"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80</w:t>
            </w:r>
          </w:p>
        </w:tc>
        <w:tc>
          <w:tcPr>
            <w:tcW w:w="8963" w:type="dxa"/>
            <w:vAlign w:val="center"/>
          </w:tcPr>
          <w:p>
            <w:pPr>
              <w:jc w:val="both"/>
              <w:rPr>
                <w:rFonts w:hint="eastAsia"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加强成人函授专科教育教学管理，强化校外合作教学点的监管。</w:t>
            </w:r>
          </w:p>
        </w:tc>
        <w:tc>
          <w:tcPr>
            <w:tcW w:w="1695" w:type="dxa"/>
            <w:vAlign w:val="center"/>
          </w:tcPr>
          <w:p>
            <w:pPr>
              <w:jc w:val="center"/>
              <w:rPr>
                <w:rFonts w:hint="eastAsia" w:ascii="仿宋" w:hAnsi="仿宋" w:eastAsia="仿宋" w:cs="仿宋"/>
                <w:color w:val="auto"/>
                <w:spacing w:val="0"/>
                <w:sz w:val="24"/>
                <w:szCs w:val="24"/>
                <w:vertAlign w:val="baseline"/>
                <w:lang w:eastAsia="zh-CN"/>
              </w:rPr>
            </w:pPr>
            <w:r>
              <w:rPr>
                <w:rFonts w:hint="eastAsia" w:ascii="仿宋" w:hAnsi="仿宋" w:eastAsia="仿宋" w:cs="仿宋"/>
                <w:color w:val="auto"/>
                <w:spacing w:val="0"/>
                <w:sz w:val="24"/>
                <w:szCs w:val="24"/>
                <w:vertAlign w:val="baseline"/>
                <w:lang w:val="en-US" w:eastAsia="zh-CN"/>
              </w:rPr>
              <w:t>开放教育学院</w:t>
            </w:r>
          </w:p>
        </w:tc>
        <w:tc>
          <w:tcPr>
            <w:tcW w:w="2280" w:type="dxa"/>
            <w:vAlign w:val="center"/>
          </w:tcPr>
          <w:p>
            <w:pPr>
              <w:jc w:val="center"/>
              <w:rPr>
                <w:rFonts w:hint="eastAsia"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各相关二级学院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85" w:type="dxa"/>
            <w:vMerge w:val="continue"/>
            <w:vAlign w:val="center"/>
          </w:tcPr>
          <w:p>
            <w:pPr>
              <w:jc w:val="center"/>
              <w:rPr>
                <w:rFonts w:hint="eastAsia" w:ascii="仿宋" w:hAnsi="仿宋" w:eastAsia="仿宋" w:cs="仿宋"/>
                <w:color w:val="auto"/>
                <w:spacing w:val="0"/>
                <w:sz w:val="24"/>
                <w:szCs w:val="24"/>
                <w:vertAlign w:val="baseline"/>
                <w:lang w:eastAsia="zh-CN"/>
              </w:rPr>
            </w:pPr>
          </w:p>
        </w:tc>
        <w:tc>
          <w:tcPr>
            <w:tcW w:w="645" w:type="dxa"/>
            <w:vAlign w:val="center"/>
          </w:tcPr>
          <w:p>
            <w:pPr>
              <w:jc w:val="center"/>
              <w:rPr>
                <w:rFonts w:hint="default"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81</w:t>
            </w:r>
          </w:p>
        </w:tc>
        <w:tc>
          <w:tcPr>
            <w:tcW w:w="8963" w:type="dxa"/>
            <w:vAlign w:val="center"/>
          </w:tcPr>
          <w:p>
            <w:pPr>
              <w:jc w:val="both"/>
              <w:rPr>
                <w:rFonts w:hint="eastAsia"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积极开展社区教育，依托长堎社区学院平台，有针对性地开展安全健康、再就业、职业技能提升等教育培训活动，创立社区教育工作品牌。</w:t>
            </w:r>
          </w:p>
        </w:tc>
        <w:tc>
          <w:tcPr>
            <w:tcW w:w="1695" w:type="dxa"/>
            <w:vAlign w:val="center"/>
          </w:tcPr>
          <w:p>
            <w:pPr>
              <w:jc w:val="center"/>
              <w:rPr>
                <w:rFonts w:hint="eastAsia" w:ascii="仿宋" w:hAnsi="仿宋" w:eastAsia="仿宋" w:cs="仿宋"/>
                <w:color w:val="auto"/>
                <w:spacing w:val="0"/>
                <w:sz w:val="24"/>
                <w:szCs w:val="24"/>
                <w:vertAlign w:val="baseline"/>
                <w:lang w:eastAsia="zh-CN"/>
              </w:rPr>
            </w:pPr>
            <w:r>
              <w:rPr>
                <w:rFonts w:hint="eastAsia" w:ascii="仿宋" w:hAnsi="仿宋" w:eastAsia="仿宋" w:cs="仿宋"/>
                <w:color w:val="auto"/>
                <w:spacing w:val="0"/>
                <w:sz w:val="24"/>
                <w:szCs w:val="24"/>
                <w:vertAlign w:val="baseline"/>
                <w:lang w:val="en-US" w:eastAsia="zh-CN"/>
              </w:rPr>
              <w:t>开放教育学院</w:t>
            </w:r>
          </w:p>
        </w:tc>
        <w:tc>
          <w:tcPr>
            <w:tcW w:w="2280" w:type="dxa"/>
            <w:vAlign w:val="center"/>
          </w:tcPr>
          <w:p>
            <w:pPr>
              <w:jc w:val="center"/>
              <w:rPr>
                <w:rFonts w:hint="eastAsia"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各相关二级学院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85" w:type="dxa"/>
            <w:vMerge w:val="continue"/>
            <w:vAlign w:val="center"/>
          </w:tcPr>
          <w:p>
            <w:pPr>
              <w:jc w:val="center"/>
              <w:rPr>
                <w:rFonts w:hint="eastAsia" w:ascii="仿宋" w:hAnsi="仿宋" w:eastAsia="仿宋" w:cs="仿宋"/>
                <w:color w:val="auto"/>
                <w:spacing w:val="0"/>
                <w:sz w:val="24"/>
                <w:szCs w:val="24"/>
                <w:vertAlign w:val="baseline"/>
                <w:lang w:eastAsia="zh-CN"/>
              </w:rPr>
            </w:pPr>
          </w:p>
        </w:tc>
        <w:tc>
          <w:tcPr>
            <w:tcW w:w="645" w:type="dxa"/>
            <w:vAlign w:val="center"/>
          </w:tcPr>
          <w:p>
            <w:pPr>
              <w:jc w:val="center"/>
              <w:rPr>
                <w:rFonts w:hint="default"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82</w:t>
            </w:r>
          </w:p>
        </w:tc>
        <w:tc>
          <w:tcPr>
            <w:tcW w:w="8963" w:type="dxa"/>
            <w:vAlign w:val="center"/>
          </w:tcPr>
          <w:p>
            <w:pPr>
              <w:jc w:val="both"/>
              <w:rPr>
                <w:rFonts w:hint="eastAsia"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加强普通话水平测试工作和人才队伍建设，积极参加语言文字规范化建设、语言文化传承弘扬、高校语言文字工作提升行动。</w:t>
            </w:r>
          </w:p>
        </w:tc>
        <w:tc>
          <w:tcPr>
            <w:tcW w:w="1695" w:type="dxa"/>
            <w:vAlign w:val="center"/>
          </w:tcPr>
          <w:p>
            <w:pPr>
              <w:jc w:val="center"/>
              <w:rPr>
                <w:rFonts w:hint="eastAsia" w:ascii="仿宋" w:hAnsi="仿宋" w:eastAsia="仿宋" w:cs="仿宋"/>
                <w:color w:val="auto"/>
                <w:spacing w:val="0"/>
                <w:sz w:val="24"/>
                <w:szCs w:val="24"/>
                <w:vertAlign w:val="baseline"/>
                <w:lang w:eastAsia="zh-CN"/>
              </w:rPr>
            </w:pPr>
            <w:r>
              <w:rPr>
                <w:rFonts w:hint="eastAsia" w:ascii="仿宋" w:hAnsi="仿宋" w:eastAsia="仿宋" w:cs="仿宋"/>
                <w:color w:val="auto"/>
                <w:spacing w:val="0"/>
                <w:sz w:val="24"/>
                <w:szCs w:val="24"/>
                <w:vertAlign w:val="baseline"/>
                <w:lang w:val="en-US" w:eastAsia="zh-CN"/>
              </w:rPr>
              <w:t>开放教育学院</w:t>
            </w:r>
          </w:p>
        </w:tc>
        <w:tc>
          <w:tcPr>
            <w:tcW w:w="2280" w:type="dxa"/>
            <w:vAlign w:val="center"/>
          </w:tcPr>
          <w:p>
            <w:pPr>
              <w:jc w:val="center"/>
              <w:rPr>
                <w:rFonts w:hint="eastAsia"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团委、学工部</w:t>
            </w:r>
          </w:p>
          <w:p>
            <w:pPr>
              <w:jc w:val="center"/>
              <w:rPr>
                <w:rFonts w:hint="eastAsia"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各二级学院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68" w:type="dxa"/>
            <w:gridSpan w:val="5"/>
            <w:vAlign w:val="center"/>
          </w:tcPr>
          <w:p>
            <w:pPr>
              <w:jc w:val="center"/>
              <w:rPr>
                <w:rFonts w:hint="eastAsia" w:ascii="仿宋" w:hAnsi="仿宋" w:eastAsia="仿宋" w:cs="仿宋"/>
                <w:color w:val="auto"/>
                <w:spacing w:val="0"/>
                <w:sz w:val="24"/>
                <w:szCs w:val="24"/>
                <w:vertAlign w:val="baseline"/>
                <w:lang w:val="en-US" w:eastAsia="zh-CN"/>
              </w:rPr>
            </w:pPr>
            <w:r>
              <w:rPr>
                <w:rFonts w:hint="eastAsia" w:ascii="黑体" w:hAnsi="黑体" w:eastAsia="黑体" w:cs="黑体"/>
                <w:color w:val="auto"/>
                <w:spacing w:val="0"/>
                <w:sz w:val="24"/>
                <w:szCs w:val="24"/>
                <w:vertAlign w:val="baseline"/>
                <w:lang w:val="en-US" w:eastAsia="zh-CN"/>
              </w:rPr>
              <w:t>五、强化服务管理，提升发展保障能力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85" w:type="dxa"/>
            <w:vMerge w:val="restart"/>
            <w:vAlign w:val="center"/>
          </w:tcPr>
          <w:p>
            <w:pPr>
              <w:jc w:val="center"/>
              <w:rPr>
                <w:rFonts w:hint="eastAsia" w:ascii="仿宋" w:hAnsi="仿宋" w:eastAsia="仿宋" w:cs="仿宋"/>
                <w:color w:val="auto"/>
                <w:spacing w:val="0"/>
                <w:sz w:val="24"/>
                <w:szCs w:val="24"/>
                <w:vertAlign w:val="baseline"/>
                <w:lang w:eastAsia="zh-CN"/>
              </w:rPr>
            </w:pPr>
            <w:r>
              <w:rPr>
                <w:rFonts w:hint="eastAsia" w:ascii="仿宋" w:hAnsi="仿宋" w:eastAsia="仿宋" w:cs="仿宋"/>
                <w:color w:val="auto"/>
                <w:spacing w:val="0"/>
                <w:sz w:val="24"/>
                <w:szCs w:val="24"/>
                <w:vertAlign w:val="baseline"/>
                <w:lang w:val="en-US" w:eastAsia="zh-CN"/>
              </w:rPr>
              <w:t>（十九）全面推进依法治教</w:t>
            </w:r>
          </w:p>
        </w:tc>
        <w:tc>
          <w:tcPr>
            <w:tcW w:w="645" w:type="dxa"/>
            <w:vAlign w:val="center"/>
          </w:tcPr>
          <w:p>
            <w:pPr>
              <w:jc w:val="center"/>
              <w:rPr>
                <w:rFonts w:hint="default"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83</w:t>
            </w:r>
          </w:p>
        </w:tc>
        <w:tc>
          <w:tcPr>
            <w:tcW w:w="8963" w:type="dxa"/>
            <w:vAlign w:val="center"/>
          </w:tcPr>
          <w:p>
            <w:pPr>
              <w:jc w:val="both"/>
              <w:rPr>
                <w:rFonts w:hint="eastAsia"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深入推进习近平法治思想进教材、进课堂、进头脑，落实教育系统“八五”普法规划，抓好法律法规在学校落实落地。</w:t>
            </w:r>
          </w:p>
        </w:tc>
        <w:tc>
          <w:tcPr>
            <w:tcW w:w="1695" w:type="dxa"/>
            <w:vAlign w:val="center"/>
          </w:tcPr>
          <w:p>
            <w:pPr>
              <w:jc w:val="center"/>
              <w:rPr>
                <w:rFonts w:hint="default"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党政办公室</w:t>
            </w:r>
          </w:p>
        </w:tc>
        <w:tc>
          <w:tcPr>
            <w:tcW w:w="2280" w:type="dxa"/>
            <w:vAlign w:val="center"/>
          </w:tcPr>
          <w:p>
            <w:pPr>
              <w:jc w:val="center"/>
              <w:rPr>
                <w:rFonts w:hint="eastAsia"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各二级学院、各部门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85" w:type="dxa"/>
            <w:vMerge w:val="continue"/>
            <w:vAlign w:val="center"/>
          </w:tcPr>
          <w:p>
            <w:pPr>
              <w:jc w:val="center"/>
              <w:rPr>
                <w:rFonts w:hint="eastAsia" w:ascii="仿宋" w:hAnsi="仿宋" w:eastAsia="仿宋" w:cs="仿宋"/>
                <w:color w:val="auto"/>
                <w:spacing w:val="0"/>
                <w:sz w:val="24"/>
                <w:szCs w:val="24"/>
                <w:vertAlign w:val="baseline"/>
                <w:lang w:eastAsia="zh-CN"/>
              </w:rPr>
            </w:pPr>
          </w:p>
        </w:tc>
        <w:tc>
          <w:tcPr>
            <w:tcW w:w="645" w:type="dxa"/>
            <w:vAlign w:val="center"/>
          </w:tcPr>
          <w:p>
            <w:pPr>
              <w:jc w:val="center"/>
              <w:rPr>
                <w:rFonts w:hint="default"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84</w:t>
            </w:r>
          </w:p>
        </w:tc>
        <w:tc>
          <w:tcPr>
            <w:tcW w:w="8963" w:type="dxa"/>
            <w:vAlign w:val="center"/>
          </w:tcPr>
          <w:p>
            <w:pPr>
              <w:jc w:val="both"/>
              <w:rPr>
                <w:rFonts w:hint="eastAsia"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修订学校章程并报省教育厅备案</w:t>
            </w:r>
          </w:p>
        </w:tc>
        <w:tc>
          <w:tcPr>
            <w:tcW w:w="1695" w:type="dxa"/>
            <w:vAlign w:val="center"/>
          </w:tcPr>
          <w:p>
            <w:pPr>
              <w:jc w:val="center"/>
              <w:rPr>
                <w:rFonts w:hint="eastAsia"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党政办公室</w:t>
            </w:r>
          </w:p>
        </w:tc>
        <w:tc>
          <w:tcPr>
            <w:tcW w:w="2280" w:type="dxa"/>
            <w:vAlign w:val="center"/>
          </w:tcPr>
          <w:p>
            <w:pPr>
              <w:jc w:val="center"/>
              <w:rPr>
                <w:rFonts w:hint="eastAsia"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各二级学院、各部门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85" w:type="dxa"/>
            <w:vMerge w:val="continue"/>
            <w:vAlign w:val="center"/>
          </w:tcPr>
          <w:p>
            <w:pPr>
              <w:jc w:val="center"/>
              <w:rPr>
                <w:rFonts w:hint="eastAsia" w:ascii="仿宋" w:hAnsi="仿宋" w:eastAsia="仿宋" w:cs="仿宋"/>
                <w:color w:val="auto"/>
                <w:spacing w:val="0"/>
                <w:sz w:val="24"/>
                <w:szCs w:val="24"/>
                <w:vertAlign w:val="baseline"/>
                <w:lang w:eastAsia="zh-CN"/>
              </w:rPr>
            </w:pPr>
          </w:p>
        </w:tc>
        <w:tc>
          <w:tcPr>
            <w:tcW w:w="645" w:type="dxa"/>
            <w:vAlign w:val="center"/>
          </w:tcPr>
          <w:p>
            <w:pPr>
              <w:jc w:val="center"/>
              <w:rPr>
                <w:rFonts w:hint="default"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85</w:t>
            </w:r>
          </w:p>
        </w:tc>
        <w:tc>
          <w:tcPr>
            <w:tcW w:w="8963" w:type="dxa"/>
            <w:vAlign w:val="center"/>
          </w:tcPr>
          <w:p>
            <w:pPr>
              <w:jc w:val="both"/>
              <w:rPr>
                <w:rFonts w:hint="eastAsia"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坚持完善信息公开制度，强化保密宣传教育，推动各部门依法依规做好信息公开。</w:t>
            </w:r>
          </w:p>
        </w:tc>
        <w:tc>
          <w:tcPr>
            <w:tcW w:w="1695" w:type="dxa"/>
            <w:vAlign w:val="center"/>
          </w:tcPr>
          <w:p>
            <w:pPr>
              <w:jc w:val="center"/>
              <w:rPr>
                <w:rFonts w:hint="eastAsia"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党政办公室</w:t>
            </w:r>
          </w:p>
        </w:tc>
        <w:tc>
          <w:tcPr>
            <w:tcW w:w="2280" w:type="dxa"/>
            <w:vAlign w:val="center"/>
          </w:tcPr>
          <w:p>
            <w:pPr>
              <w:jc w:val="center"/>
              <w:rPr>
                <w:rFonts w:hint="eastAsia"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各二级学院、各部门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85" w:type="dxa"/>
            <w:vMerge w:val="continue"/>
            <w:vAlign w:val="center"/>
          </w:tcPr>
          <w:p>
            <w:pPr>
              <w:jc w:val="center"/>
              <w:rPr>
                <w:rFonts w:hint="eastAsia" w:ascii="仿宋" w:hAnsi="仿宋" w:eastAsia="仿宋" w:cs="仿宋"/>
                <w:color w:val="auto"/>
                <w:spacing w:val="0"/>
                <w:sz w:val="24"/>
                <w:szCs w:val="24"/>
                <w:vertAlign w:val="baseline"/>
                <w:lang w:eastAsia="zh-CN"/>
              </w:rPr>
            </w:pPr>
          </w:p>
        </w:tc>
        <w:tc>
          <w:tcPr>
            <w:tcW w:w="645" w:type="dxa"/>
            <w:vAlign w:val="center"/>
          </w:tcPr>
          <w:p>
            <w:pPr>
              <w:jc w:val="center"/>
              <w:rPr>
                <w:rFonts w:hint="default"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86</w:t>
            </w:r>
          </w:p>
        </w:tc>
        <w:tc>
          <w:tcPr>
            <w:tcW w:w="8963" w:type="dxa"/>
            <w:vAlign w:val="center"/>
          </w:tcPr>
          <w:p>
            <w:pPr>
              <w:jc w:val="both"/>
              <w:rPr>
                <w:rFonts w:hint="eastAsia"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组织“宪法卫士”行动，参加第七届全省学生“学宪法 讲宪法”比赛，开展国家宪法日“宪法晨读”等系列活动。</w:t>
            </w:r>
          </w:p>
        </w:tc>
        <w:tc>
          <w:tcPr>
            <w:tcW w:w="1695" w:type="dxa"/>
            <w:vAlign w:val="center"/>
          </w:tcPr>
          <w:p>
            <w:pPr>
              <w:jc w:val="center"/>
              <w:rPr>
                <w:rFonts w:hint="default"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学工部</w:t>
            </w:r>
          </w:p>
        </w:tc>
        <w:tc>
          <w:tcPr>
            <w:tcW w:w="2280" w:type="dxa"/>
            <w:vAlign w:val="center"/>
          </w:tcPr>
          <w:p>
            <w:pPr>
              <w:jc w:val="center"/>
              <w:rPr>
                <w:rFonts w:hint="eastAsia"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学工部</w:t>
            </w:r>
          </w:p>
          <w:p>
            <w:pPr>
              <w:jc w:val="center"/>
              <w:rPr>
                <w:rFonts w:hint="eastAsia"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各二级学院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85" w:type="dxa"/>
            <w:vMerge w:val="continue"/>
            <w:vAlign w:val="center"/>
          </w:tcPr>
          <w:p>
            <w:pPr>
              <w:jc w:val="center"/>
              <w:rPr>
                <w:rFonts w:hint="eastAsia" w:ascii="仿宋" w:hAnsi="仿宋" w:eastAsia="仿宋" w:cs="仿宋"/>
                <w:color w:val="auto"/>
                <w:spacing w:val="0"/>
                <w:sz w:val="24"/>
                <w:szCs w:val="24"/>
                <w:vertAlign w:val="baseline"/>
                <w:lang w:eastAsia="zh-CN"/>
              </w:rPr>
            </w:pPr>
          </w:p>
        </w:tc>
        <w:tc>
          <w:tcPr>
            <w:tcW w:w="645" w:type="dxa"/>
            <w:vAlign w:val="center"/>
          </w:tcPr>
          <w:p>
            <w:pPr>
              <w:jc w:val="center"/>
              <w:rPr>
                <w:rFonts w:hint="default"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87</w:t>
            </w:r>
          </w:p>
        </w:tc>
        <w:tc>
          <w:tcPr>
            <w:tcW w:w="8963" w:type="dxa"/>
            <w:vAlign w:val="center"/>
          </w:tcPr>
          <w:p>
            <w:pPr>
              <w:jc w:val="both"/>
              <w:rPr>
                <w:rFonts w:hint="eastAsia"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修订学校2022年招生章程，加强招生宣传，提高普高生源报考志愿量。</w:t>
            </w:r>
          </w:p>
        </w:tc>
        <w:tc>
          <w:tcPr>
            <w:tcW w:w="1695" w:type="dxa"/>
            <w:vAlign w:val="center"/>
          </w:tcPr>
          <w:p>
            <w:pPr>
              <w:jc w:val="center"/>
              <w:rPr>
                <w:rFonts w:hint="default"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招考处</w:t>
            </w:r>
          </w:p>
        </w:tc>
        <w:tc>
          <w:tcPr>
            <w:tcW w:w="2280" w:type="dxa"/>
            <w:vAlign w:val="center"/>
          </w:tcPr>
          <w:p>
            <w:pPr>
              <w:jc w:val="center"/>
              <w:rPr>
                <w:rFonts w:hint="eastAsia"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各二级学院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85" w:type="dxa"/>
            <w:vMerge w:val="continue"/>
            <w:vAlign w:val="center"/>
          </w:tcPr>
          <w:p>
            <w:pPr>
              <w:jc w:val="center"/>
              <w:rPr>
                <w:rFonts w:hint="eastAsia" w:ascii="仿宋" w:hAnsi="仿宋" w:eastAsia="仿宋" w:cs="仿宋"/>
                <w:color w:val="auto"/>
                <w:spacing w:val="0"/>
                <w:sz w:val="24"/>
                <w:szCs w:val="24"/>
                <w:vertAlign w:val="baseline"/>
                <w:lang w:eastAsia="zh-CN"/>
              </w:rPr>
            </w:pPr>
          </w:p>
        </w:tc>
        <w:tc>
          <w:tcPr>
            <w:tcW w:w="645" w:type="dxa"/>
            <w:vAlign w:val="center"/>
          </w:tcPr>
          <w:p>
            <w:pPr>
              <w:jc w:val="center"/>
              <w:rPr>
                <w:rFonts w:hint="default"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88</w:t>
            </w:r>
          </w:p>
        </w:tc>
        <w:tc>
          <w:tcPr>
            <w:tcW w:w="8963" w:type="dxa"/>
            <w:vAlign w:val="center"/>
          </w:tcPr>
          <w:p>
            <w:pPr>
              <w:jc w:val="both"/>
              <w:rPr>
                <w:rFonts w:hint="eastAsia"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全面清查校内教职工房产，完善房产信息，健全管理制度，明晰产权和管理归属。</w:t>
            </w:r>
          </w:p>
        </w:tc>
        <w:tc>
          <w:tcPr>
            <w:tcW w:w="1695" w:type="dxa"/>
            <w:vAlign w:val="center"/>
          </w:tcPr>
          <w:p>
            <w:pPr>
              <w:jc w:val="center"/>
              <w:rPr>
                <w:rFonts w:hint="default"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资产管理处</w:t>
            </w:r>
          </w:p>
        </w:tc>
        <w:tc>
          <w:tcPr>
            <w:tcW w:w="2280" w:type="dxa"/>
            <w:vAlign w:val="center"/>
          </w:tcPr>
          <w:p>
            <w:pPr>
              <w:jc w:val="center"/>
              <w:rPr>
                <w:rFonts w:hint="eastAsia"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后勤管理处</w:t>
            </w:r>
          </w:p>
          <w:p>
            <w:pPr>
              <w:jc w:val="center"/>
              <w:rPr>
                <w:rFonts w:hint="eastAsia"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工会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85" w:type="dxa"/>
            <w:vMerge w:val="continue"/>
            <w:vAlign w:val="center"/>
          </w:tcPr>
          <w:p>
            <w:pPr>
              <w:jc w:val="center"/>
              <w:rPr>
                <w:rFonts w:hint="eastAsia" w:ascii="仿宋" w:hAnsi="仿宋" w:eastAsia="仿宋" w:cs="仿宋"/>
                <w:color w:val="auto"/>
                <w:spacing w:val="0"/>
                <w:sz w:val="24"/>
                <w:szCs w:val="24"/>
                <w:vertAlign w:val="baseline"/>
                <w:lang w:eastAsia="zh-CN"/>
              </w:rPr>
            </w:pPr>
          </w:p>
        </w:tc>
        <w:tc>
          <w:tcPr>
            <w:tcW w:w="645" w:type="dxa"/>
            <w:vAlign w:val="center"/>
          </w:tcPr>
          <w:p>
            <w:pPr>
              <w:jc w:val="center"/>
              <w:rPr>
                <w:rFonts w:hint="default"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89</w:t>
            </w:r>
          </w:p>
        </w:tc>
        <w:tc>
          <w:tcPr>
            <w:tcW w:w="8963" w:type="dxa"/>
            <w:vAlign w:val="center"/>
          </w:tcPr>
          <w:p>
            <w:pPr>
              <w:jc w:val="both"/>
              <w:rPr>
                <w:rFonts w:hint="eastAsia"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发挥信访和校长信箱作为学校办学治校的“晴雨表”功能，提升来信来访办理质量和效率，分析问题成因和师生思想动态，为各部门完善日常管理提供参考。</w:t>
            </w:r>
          </w:p>
        </w:tc>
        <w:tc>
          <w:tcPr>
            <w:tcW w:w="1695" w:type="dxa"/>
            <w:vAlign w:val="center"/>
          </w:tcPr>
          <w:p>
            <w:pPr>
              <w:jc w:val="center"/>
              <w:rPr>
                <w:rFonts w:hint="eastAsia" w:ascii="仿宋" w:hAnsi="仿宋" w:eastAsia="仿宋" w:cs="仿宋"/>
                <w:color w:val="auto"/>
                <w:spacing w:val="0"/>
                <w:sz w:val="24"/>
                <w:szCs w:val="24"/>
                <w:vertAlign w:val="baseline"/>
                <w:lang w:eastAsia="zh-CN"/>
              </w:rPr>
            </w:pPr>
            <w:r>
              <w:rPr>
                <w:rFonts w:hint="eastAsia" w:ascii="仿宋" w:hAnsi="仿宋" w:eastAsia="仿宋" w:cs="仿宋"/>
                <w:color w:val="auto"/>
                <w:spacing w:val="0"/>
                <w:sz w:val="24"/>
                <w:szCs w:val="24"/>
                <w:vertAlign w:val="baseline"/>
                <w:lang w:val="en-US" w:eastAsia="zh-CN"/>
              </w:rPr>
              <w:t>党政办公室</w:t>
            </w:r>
          </w:p>
        </w:tc>
        <w:tc>
          <w:tcPr>
            <w:tcW w:w="2280" w:type="dxa"/>
            <w:vAlign w:val="center"/>
          </w:tcPr>
          <w:p>
            <w:pPr>
              <w:jc w:val="center"/>
              <w:rPr>
                <w:rFonts w:hint="eastAsia"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各二级学院、各部门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85" w:type="dxa"/>
            <w:vMerge w:val="restart"/>
            <w:vAlign w:val="center"/>
          </w:tcPr>
          <w:p>
            <w:pPr>
              <w:jc w:val="center"/>
              <w:rPr>
                <w:rFonts w:hint="eastAsia" w:ascii="仿宋" w:hAnsi="仿宋" w:eastAsia="仿宋" w:cs="仿宋"/>
                <w:color w:val="auto"/>
                <w:spacing w:val="0"/>
                <w:sz w:val="24"/>
                <w:szCs w:val="24"/>
                <w:vertAlign w:val="baseline"/>
                <w:lang w:eastAsia="zh-CN"/>
              </w:rPr>
            </w:pPr>
            <w:r>
              <w:rPr>
                <w:rFonts w:hint="eastAsia" w:ascii="仿宋" w:hAnsi="仿宋" w:eastAsia="仿宋" w:cs="仿宋"/>
                <w:color w:val="auto"/>
                <w:spacing w:val="0"/>
                <w:sz w:val="24"/>
                <w:szCs w:val="24"/>
                <w:vertAlign w:val="baseline"/>
                <w:lang w:val="en-US" w:eastAsia="zh-CN"/>
              </w:rPr>
              <w:t>（二十）纵深推进制度“废改立”</w:t>
            </w:r>
          </w:p>
        </w:tc>
        <w:tc>
          <w:tcPr>
            <w:tcW w:w="645" w:type="dxa"/>
            <w:vAlign w:val="center"/>
          </w:tcPr>
          <w:p>
            <w:pPr>
              <w:jc w:val="center"/>
              <w:rPr>
                <w:rFonts w:hint="default"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90</w:t>
            </w:r>
          </w:p>
        </w:tc>
        <w:tc>
          <w:tcPr>
            <w:tcW w:w="8963" w:type="dxa"/>
            <w:vAlign w:val="center"/>
          </w:tcPr>
          <w:p>
            <w:pPr>
              <w:jc w:val="both"/>
              <w:rPr>
                <w:rFonts w:hint="eastAsia"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全面梳理现行制度，明确保留、修订或废止，查缺补漏，倒排工期，年底前完成学校现行制度汇编。</w:t>
            </w:r>
          </w:p>
        </w:tc>
        <w:tc>
          <w:tcPr>
            <w:tcW w:w="1695" w:type="dxa"/>
            <w:vAlign w:val="center"/>
          </w:tcPr>
          <w:p>
            <w:pPr>
              <w:jc w:val="center"/>
              <w:rPr>
                <w:rFonts w:hint="eastAsia" w:ascii="仿宋" w:hAnsi="仿宋" w:eastAsia="仿宋" w:cs="仿宋"/>
                <w:color w:val="auto"/>
                <w:spacing w:val="0"/>
                <w:sz w:val="24"/>
                <w:szCs w:val="24"/>
                <w:vertAlign w:val="baseline"/>
                <w:lang w:eastAsia="zh-CN"/>
              </w:rPr>
            </w:pPr>
            <w:r>
              <w:rPr>
                <w:rFonts w:hint="eastAsia" w:ascii="仿宋" w:hAnsi="仿宋" w:eastAsia="仿宋" w:cs="仿宋"/>
                <w:color w:val="auto"/>
                <w:spacing w:val="0"/>
                <w:sz w:val="24"/>
                <w:szCs w:val="24"/>
                <w:vertAlign w:val="baseline"/>
                <w:lang w:val="en-US" w:eastAsia="zh-CN"/>
              </w:rPr>
              <w:t>党政办公室</w:t>
            </w:r>
          </w:p>
        </w:tc>
        <w:tc>
          <w:tcPr>
            <w:tcW w:w="2280" w:type="dxa"/>
            <w:vAlign w:val="center"/>
          </w:tcPr>
          <w:p>
            <w:pPr>
              <w:jc w:val="center"/>
              <w:rPr>
                <w:rFonts w:hint="eastAsia"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各二级学院、各部门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85" w:type="dxa"/>
            <w:vMerge w:val="continue"/>
            <w:vAlign w:val="center"/>
          </w:tcPr>
          <w:p>
            <w:pPr>
              <w:jc w:val="center"/>
              <w:rPr>
                <w:rFonts w:hint="eastAsia" w:ascii="仿宋" w:hAnsi="仿宋" w:eastAsia="仿宋" w:cs="仿宋"/>
                <w:color w:val="auto"/>
                <w:spacing w:val="0"/>
                <w:sz w:val="24"/>
                <w:szCs w:val="24"/>
                <w:vertAlign w:val="baseline"/>
                <w:lang w:eastAsia="zh-CN"/>
              </w:rPr>
            </w:pPr>
          </w:p>
        </w:tc>
        <w:tc>
          <w:tcPr>
            <w:tcW w:w="645" w:type="dxa"/>
            <w:vAlign w:val="center"/>
          </w:tcPr>
          <w:p>
            <w:pPr>
              <w:jc w:val="center"/>
              <w:rPr>
                <w:rFonts w:hint="default"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91</w:t>
            </w:r>
          </w:p>
        </w:tc>
        <w:tc>
          <w:tcPr>
            <w:tcW w:w="8963" w:type="dxa"/>
            <w:vAlign w:val="center"/>
          </w:tcPr>
          <w:p>
            <w:pPr>
              <w:jc w:val="both"/>
              <w:rPr>
                <w:rFonts w:hint="eastAsia"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优化人事管理，不断完善职称自主评聘制度，修订《专业技术职务评聘管理办法》《公共服务工作管理办法》，进一步调动广大教职工积极性。</w:t>
            </w:r>
          </w:p>
        </w:tc>
        <w:tc>
          <w:tcPr>
            <w:tcW w:w="1695" w:type="dxa"/>
            <w:vAlign w:val="center"/>
          </w:tcPr>
          <w:p>
            <w:pPr>
              <w:jc w:val="center"/>
              <w:rPr>
                <w:rFonts w:hint="default"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人事处</w:t>
            </w:r>
          </w:p>
        </w:tc>
        <w:tc>
          <w:tcPr>
            <w:tcW w:w="2280" w:type="dxa"/>
            <w:vAlign w:val="center"/>
          </w:tcPr>
          <w:p>
            <w:pPr>
              <w:jc w:val="center"/>
              <w:rPr>
                <w:rFonts w:hint="eastAsia"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教务处、科研处</w:t>
            </w:r>
          </w:p>
          <w:p>
            <w:pPr>
              <w:jc w:val="center"/>
              <w:rPr>
                <w:rFonts w:hint="eastAsia"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发展规划处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85" w:type="dxa"/>
            <w:vMerge w:val="continue"/>
            <w:vAlign w:val="center"/>
          </w:tcPr>
          <w:p>
            <w:pPr>
              <w:jc w:val="center"/>
              <w:rPr>
                <w:rFonts w:hint="eastAsia" w:ascii="仿宋" w:hAnsi="仿宋" w:eastAsia="仿宋" w:cs="仿宋"/>
                <w:color w:val="auto"/>
                <w:spacing w:val="0"/>
                <w:sz w:val="24"/>
                <w:szCs w:val="24"/>
                <w:vertAlign w:val="baseline"/>
                <w:lang w:eastAsia="zh-CN"/>
              </w:rPr>
            </w:pPr>
          </w:p>
        </w:tc>
        <w:tc>
          <w:tcPr>
            <w:tcW w:w="645" w:type="dxa"/>
            <w:vAlign w:val="center"/>
          </w:tcPr>
          <w:p>
            <w:pPr>
              <w:jc w:val="center"/>
              <w:rPr>
                <w:rFonts w:hint="default"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92</w:t>
            </w:r>
          </w:p>
        </w:tc>
        <w:tc>
          <w:tcPr>
            <w:tcW w:w="8963" w:type="dxa"/>
            <w:vAlign w:val="center"/>
          </w:tcPr>
          <w:p>
            <w:pPr>
              <w:jc w:val="both"/>
              <w:rPr>
                <w:rFonts w:hint="eastAsia"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修订《科研工作量的核算和奖励办法》。</w:t>
            </w:r>
          </w:p>
        </w:tc>
        <w:tc>
          <w:tcPr>
            <w:tcW w:w="1695" w:type="dxa"/>
            <w:vAlign w:val="center"/>
          </w:tcPr>
          <w:p>
            <w:pPr>
              <w:jc w:val="center"/>
              <w:rPr>
                <w:rFonts w:hint="default"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科研处</w:t>
            </w:r>
          </w:p>
        </w:tc>
        <w:tc>
          <w:tcPr>
            <w:tcW w:w="2280" w:type="dxa"/>
            <w:vAlign w:val="center"/>
          </w:tcPr>
          <w:p>
            <w:pPr>
              <w:jc w:val="center"/>
              <w:rPr>
                <w:rFonts w:hint="eastAsia"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人事处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85" w:type="dxa"/>
            <w:vMerge w:val="continue"/>
            <w:vAlign w:val="center"/>
          </w:tcPr>
          <w:p>
            <w:pPr>
              <w:jc w:val="center"/>
              <w:rPr>
                <w:rFonts w:hint="eastAsia" w:ascii="仿宋" w:hAnsi="仿宋" w:eastAsia="仿宋" w:cs="仿宋"/>
                <w:color w:val="auto"/>
                <w:spacing w:val="0"/>
                <w:sz w:val="24"/>
                <w:szCs w:val="24"/>
                <w:vertAlign w:val="baseline"/>
                <w:lang w:eastAsia="zh-CN"/>
              </w:rPr>
            </w:pPr>
          </w:p>
        </w:tc>
        <w:tc>
          <w:tcPr>
            <w:tcW w:w="645" w:type="dxa"/>
            <w:vAlign w:val="center"/>
          </w:tcPr>
          <w:p>
            <w:pPr>
              <w:jc w:val="center"/>
              <w:rPr>
                <w:rFonts w:hint="default"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93</w:t>
            </w:r>
          </w:p>
        </w:tc>
        <w:tc>
          <w:tcPr>
            <w:tcW w:w="8963" w:type="dxa"/>
            <w:vAlign w:val="center"/>
          </w:tcPr>
          <w:p>
            <w:pPr>
              <w:jc w:val="both"/>
              <w:rPr>
                <w:rFonts w:hint="eastAsia"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印发《教学督导工作管理办法》，加强</w:t>
            </w:r>
            <w:r>
              <w:rPr>
                <w:rFonts w:hint="eastAsia" w:ascii="仿宋" w:hAnsi="仿宋" w:eastAsia="仿宋" w:cs="仿宋"/>
                <w:color w:val="auto"/>
                <w:spacing w:val="0"/>
                <w:sz w:val="24"/>
                <w:szCs w:val="24"/>
                <w:vertAlign w:val="baseline"/>
                <w:lang w:val="en-US" w:eastAsia="zh-Hans"/>
              </w:rPr>
              <w:t>教学督导</w:t>
            </w:r>
            <w:r>
              <w:rPr>
                <w:rFonts w:hint="eastAsia" w:ascii="仿宋" w:hAnsi="仿宋" w:eastAsia="仿宋" w:cs="仿宋"/>
                <w:color w:val="auto"/>
                <w:spacing w:val="0"/>
                <w:sz w:val="24"/>
                <w:szCs w:val="24"/>
                <w:vertAlign w:val="baseline"/>
                <w:lang w:val="en-US" w:eastAsia="zh-CN"/>
              </w:rPr>
              <w:t>评估</w:t>
            </w:r>
            <w:r>
              <w:rPr>
                <w:rFonts w:hint="eastAsia" w:ascii="仿宋" w:hAnsi="仿宋" w:eastAsia="仿宋" w:cs="仿宋"/>
                <w:color w:val="auto"/>
                <w:spacing w:val="0"/>
                <w:sz w:val="24"/>
                <w:szCs w:val="24"/>
                <w:vertAlign w:val="baseline"/>
                <w:lang w:val="en-US" w:eastAsia="zh-Hans"/>
              </w:rPr>
              <w:t>管理，</w:t>
            </w:r>
            <w:r>
              <w:rPr>
                <w:rFonts w:hint="eastAsia" w:ascii="仿宋" w:hAnsi="仿宋" w:eastAsia="仿宋" w:cs="仿宋"/>
                <w:color w:val="auto"/>
                <w:spacing w:val="0"/>
                <w:sz w:val="24"/>
                <w:szCs w:val="24"/>
                <w:vertAlign w:val="baseline"/>
                <w:lang w:val="en-US" w:eastAsia="zh-CN"/>
              </w:rPr>
              <w:t>利用</w:t>
            </w:r>
            <w:r>
              <w:rPr>
                <w:rFonts w:hint="eastAsia" w:ascii="仿宋" w:hAnsi="仿宋" w:eastAsia="仿宋" w:cs="仿宋"/>
                <w:color w:val="auto"/>
                <w:spacing w:val="0"/>
                <w:sz w:val="24"/>
                <w:szCs w:val="24"/>
                <w:vertAlign w:val="baseline"/>
                <w:lang w:val="en-US" w:eastAsia="zh-Hans"/>
              </w:rPr>
              <w:t>信息</w:t>
            </w:r>
            <w:r>
              <w:rPr>
                <w:rFonts w:hint="eastAsia" w:ascii="仿宋" w:hAnsi="仿宋" w:eastAsia="仿宋" w:cs="仿宋"/>
                <w:color w:val="auto"/>
                <w:spacing w:val="0"/>
                <w:sz w:val="24"/>
                <w:szCs w:val="24"/>
                <w:vertAlign w:val="baseline"/>
                <w:lang w:val="en-US" w:eastAsia="zh-CN"/>
              </w:rPr>
              <w:t>技术</w:t>
            </w:r>
            <w:r>
              <w:rPr>
                <w:rFonts w:hint="eastAsia" w:ascii="仿宋" w:hAnsi="仿宋" w:eastAsia="仿宋" w:cs="仿宋"/>
                <w:color w:val="auto"/>
                <w:spacing w:val="0"/>
                <w:sz w:val="24"/>
                <w:szCs w:val="24"/>
                <w:vertAlign w:val="baseline"/>
                <w:lang w:val="en-US" w:eastAsia="zh-Hans"/>
              </w:rPr>
              <w:t>改进</w:t>
            </w:r>
            <w:r>
              <w:rPr>
                <w:rFonts w:hint="eastAsia" w:ascii="仿宋" w:hAnsi="仿宋" w:eastAsia="仿宋" w:cs="仿宋"/>
                <w:color w:val="auto"/>
                <w:spacing w:val="0"/>
                <w:sz w:val="24"/>
                <w:szCs w:val="24"/>
                <w:vertAlign w:val="baseline"/>
                <w:lang w:val="en-US" w:eastAsia="zh-CN"/>
              </w:rPr>
              <w:t>督导</w:t>
            </w:r>
            <w:r>
              <w:rPr>
                <w:rFonts w:hint="eastAsia" w:ascii="仿宋" w:hAnsi="仿宋" w:eastAsia="仿宋" w:cs="仿宋"/>
                <w:color w:val="auto"/>
                <w:spacing w:val="0"/>
                <w:sz w:val="24"/>
                <w:szCs w:val="24"/>
                <w:vertAlign w:val="baseline"/>
                <w:lang w:val="en-US" w:eastAsia="zh-Hans"/>
              </w:rPr>
              <w:t>工作方法</w:t>
            </w:r>
            <w:r>
              <w:rPr>
                <w:rFonts w:hint="eastAsia" w:ascii="仿宋" w:hAnsi="仿宋" w:eastAsia="仿宋" w:cs="仿宋"/>
                <w:color w:val="auto"/>
                <w:spacing w:val="0"/>
                <w:sz w:val="24"/>
                <w:szCs w:val="24"/>
                <w:vertAlign w:val="baseline"/>
                <w:lang w:val="en-US" w:eastAsia="zh-CN"/>
              </w:rPr>
              <w:t>，推动</w:t>
            </w:r>
            <w:r>
              <w:rPr>
                <w:rFonts w:hint="eastAsia" w:ascii="仿宋" w:hAnsi="仿宋" w:eastAsia="仿宋" w:cs="仿宋"/>
                <w:color w:val="auto"/>
                <w:spacing w:val="0"/>
                <w:sz w:val="24"/>
                <w:szCs w:val="24"/>
                <w:vertAlign w:val="baseline"/>
                <w:lang w:val="en-US" w:eastAsia="zh-Hans"/>
              </w:rPr>
              <w:t>教学督导与质量诊改深度融合。</w:t>
            </w:r>
          </w:p>
        </w:tc>
        <w:tc>
          <w:tcPr>
            <w:tcW w:w="1695" w:type="dxa"/>
            <w:vAlign w:val="center"/>
          </w:tcPr>
          <w:p>
            <w:pPr>
              <w:jc w:val="center"/>
              <w:rPr>
                <w:rFonts w:hint="default"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发展规划处</w:t>
            </w:r>
          </w:p>
        </w:tc>
        <w:tc>
          <w:tcPr>
            <w:tcW w:w="2280" w:type="dxa"/>
            <w:vAlign w:val="center"/>
          </w:tcPr>
          <w:p>
            <w:pPr>
              <w:jc w:val="center"/>
              <w:rPr>
                <w:rFonts w:hint="eastAsia"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教务处、现教中心</w:t>
            </w:r>
          </w:p>
          <w:p>
            <w:pPr>
              <w:jc w:val="center"/>
              <w:rPr>
                <w:rFonts w:hint="eastAsia"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各二级学院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85" w:type="dxa"/>
            <w:vMerge w:val="restart"/>
            <w:vAlign w:val="center"/>
          </w:tcPr>
          <w:p>
            <w:pPr>
              <w:jc w:val="center"/>
              <w:rPr>
                <w:rFonts w:hint="eastAsia" w:ascii="仿宋" w:hAnsi="仿宋" w:eastAsia="仿宋" w:cs="仿宋"/>
                <w:color w:val="auto"/>
                <w:spacing w:val="0"/>
                <w:sz w:val="24"/>
                <w:szCs w:val="24"/>
                <w:vertAlign w:val="baseline"/>
                <w:lang w:eastAsia="zh-CN"/>
              </w:rPr>
            </w:pPr>
            <w:r>
              <w:rPr>
                <w:rFonts w:hint="eastAsia" w:ascii="仿宋" w:hAnsi="仿宋" w:eastAsia="仿宋" w:cs="仿宋"/>
                <w:color w:val="auto"/>
                <w:spacing w:val="0"/>
                <w:sz w:val="24"/>
                <w:szCs w:val="24"/>
                <w:vertAlign w:val="baseline"/>
                <w:lang w:val="en-US" w:eastAsia="zh-CN"/>
              </w:rPr>
              <w:t>（二十一）发挥教辅机构辅助功能</w:t>
            </w:r>
          </w:p>
        </w:tc>
        <w:tc>
          <w:tcPr>
            <w:tcW w:w="645" w:type="dxa"/>
            <w:vAlign w:val="center"/>
          </w:tcPr>
          <w:p>
            <w:pPr>
              <w:jc w:val="center"/>
              <w:rPr>
                <w:rFonts w:hint="default"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94</w:t>
            </w:r>
          </w:p>
        </w:tc>
        <w:tc>
          <w:tcPr>
            <w:tcW w:w="8963" w:type="dxa"/>
            <w:vAlign w:val="center"/>
          </w:tcPr>
          <w:p>
            <w:pPr>
              <w:jc w:val="both"/>
              <w:rPr>
                <w:rFonts w:hint="eastAsia"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提高图书资源质量和专业图书比重，注重现代信息技术和设备应用，加强图书馆专业人才队伍建设，提升图书馆服务“双高”建设、职业本科教育及“全民阅读”能力，大力推进智慧图书馆和书香校园建设。</w:t>
            </w:r>
          </w:p>
        </w:tc>
        <w:tc>
          <w:tcPr>
            <w:tcW w:w="1695" w:type="dxa"/>
            <w:vAlign w:val="center"/>
          </w:tcPr>
          <w:p>
            <w:pPr>
              <w:jc w:val="center"/>
              <w:rPr>
                <w:rFonts w:hint="default"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图书馆</w:t>
            </w:r>
          </w:p>
        </w:tc>
        <w:tc>
          <w:tcPr>
            <w:tcW w:w="2280" w:type="dxa"/>
            <w:vAlign w:val="center"/>
          </w:tcPr>
          <w:p>
            <w:pPr>
              <w:jc w:val="center"/>
              <w:rPr>
                <w:rFonts w:hint="eastAsia"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教务处</w:t>
            </w:r>
          </w:p>
          <w:p>
            <w:pPr>
              <w:jc w:val="center"/>
              <w:rPr>
                <w:rFonts w:hint="eastAsia"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各二级学院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85" w:type="dxa"/>
            <w:vMerge w:val="continue"/>
            <w:vAlign w:val="center"/>
          </w:tcPr>
          <w:p>
            <w:pPr>
              <w:jc w:val="center"/>
              <w:rPr>
                <w:rFonts w:hint="eastAsia" w:ascii="仿宋" w:hAnsi="仿宋" w:eastAsia="仿宋" w:cs="仿宋"/>
                <w:color w:val="auto"/>
                <w:spacing w:val="0"/>
                <w:sz w:val="24"/>
                <w:szCs w:val="24"/>
                <w:vertAlign w:val="baseline"/>
                <w:lang w:eastAsia="zh-CN"/>
              </w:rPr>
            </w:pPr>
          </w:p>
        </w:tc>
        <w:tc>
          <w:tcPr>
            <w:tcW w:w="645" w:type="dxa"/>
            <w:vAlign w:val="center"/>
          </w:tcPr>
          <w:p>
            <w:pPr>
              <w:jc w:val="center"/>
              <w:rPr>
                <w:rFonts w:hint="default"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95</w:t>
            </w:r>
          </w:p>
        </w:tc>
        <w:tc>
          <w:tcPr>
            <w:tcW w:w="8963" w:type="dxa"/>
            <w:vAlign w:val="center"/>
          </w:tcPr>
          <w:p>
            <w:pPr>
              <w:jc w:val="both"/>
              <w:rPr>
                <w:rFonts w:hint="eastAsia"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加强档案管理，提升各部门档案意识，指导、落实各部门预立卷工作，完善毕业生学籍档案，启动“三校合并”前历史资料的鉴定整理。</w:t>
            </w:r>
          </w:p>
        </w:tc>
        <w:tc>
          <w:tcPr>
            <w:tcW w:w="1695" w:type="dxa"/>
            <w:vAlign w:val="center"/>
          </w:tcPr>
          <w:p>
            <w:pPr>
              <w:jc w:val="center"/>
              <w:rPr>
                <w:rFonts w:hint="default"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档案管理中心</w:t>
            </w:r>
          </w:p>
        </w:tc>
        <w:tc>
          <w:tcPr>
            <w:tcW w:w="2280" w:type="dxa"/>
            <w:vAlign w:val="center"/>
          </w:tcPr>
          <w:p>
            <w:pPr>
              <w:jc w:val="center"/>
              <w:rPr>
                <w:rFonts w:hint="eastAsia"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各二级学院、各部门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85" w:type="dxa"/>
            <w:vMerge w:val="continue"/>
            <w:vAlign w:val="center"/>
          </w:tcPr>
          <w:p>
            <w:pPr>
              <w:jc w:val="center"/>
              <w:rPr>
                <w:rFonts w:hint="eastAsia" w:ascii="仿宋" w:hAnsi="仿宋" w:eastAsia="仿宋" w:cs="仿宋"/>
                <w:color w:val="auto"/>
                <w:spacing w:val="0"/>
                <w:sz w:val="24"/>
                <w:szCs w:val="24"/>
                <w:vertAlign w:val="baseline"/>
                <w:lang w:eastAsia="zh-CN"/>
              </w:rPr>
            </w:pPr>
          </w:p>
        </w:tc>
        <w:tc>
          <w:tcPr>
            <w:tcW w:w="645" w:type="dxa"/>
            <w:vAlign w:val="center"/>
          </w:tcPr>
          <w:p>
            <w:pPr>
              <w:jc w:val="center"/>
              <w:rPr>
                <w:rFonts w:hint="default"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96</w:t>
            </w:r>
          </w:p>
        </w:tc>
        <w:tc>
          <w:tcPr>
            <w:tcW w:w="8963" w:type="dxa"/>
            <w:vAlign w:val="center"/>
          </w:tcPr>
          <w:p>
            <w:pPr>
              <w:jc w:val="both"/>
              <w:rPr>
                <w:rFonts w:hint="eastAsia"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持续开展校本研究，编印《职业教育政策研究内参》，提高《江西旅游商贸职教研究》发刊质量。</w:t>
            </w:r>
          </w:p>
        </w:tc>
        <w:tc>
          <w:tcPr>
            <w:tcW w:w="1695" w:type="dxa"/>
            <w:vAlign w:val="center"/>
          </w:tcPr>
          <w:p>
            <w:pPr>
              <w:jc w:val="center"/>
              <w:rPr>
                <w:rFonts w:hint="default"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职教研究所</w:t>
            </w:r>
          </w:p>
        </w:tc>
        <w:tc>
          <w:tcPr>
            <w:tcW w:w="2280" w:type="dxa"/>
            <w:vAlign w:val="center"/>
          </w:tcPr>
          <w:p>
            <w:pPr>
              <w:jc w:val="center"/>
              <w:rPr>
                <w:rFonts w:hint="eastAsia"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科研处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85" w:type="dxa"/>
            <w:vMerge w:val="continue"/>
            <w:vAlign w:val="center"/>
          </w:tcPr>
          <w:p>
            <w:pPr>
              <w:jc w:val="center"/>
              <w:rPr>
                <w:rFonts w:hint="eastAsia" w:ascii="仿宋" w:hAnsi="仿宋" w:eastAsia="仿宋" w:cs="仿宋"/>
                <w:color w:val="auto"/>
                <w:spacing w:val="0"/>
                <w:sz w:val="24"/>
                <w:szCs w:val="24"/>
                <w:vertAlign w:val="baseline"/>
                <w:lang w:eastAsia="zh-CN"/>
              </w:rPr>
            </w:pPr>
          </w:p>
        </w:tc>
        <w:tc>
          <w:tcPr>
            <w:tcW w:w="645" w:type="dxa"/>
            <w:vAlign w:val="center"/>
          </w:tcPr>
          <w:p>
            <w:pPr>
              <w:jc w:val="center"/>
              <w:rPr>
                <w:rFonts w:hint="default"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97</w:t>
            </w:r>
          </w:p>
        </w:tc>
        <w:tc>
          <w:tcPr>
            <w:tcW w:w="8963" w:type="dxa"/>
            <w:vAlign w:val="center"/>
          </w:tcPr>
          <w:p>
            <w:pPr>
              <w:jc w:val="both"/>
              <w:rPr>
                <w:rFonts w:hint="eastAsia"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深入推进研学基地建设，进一步完善研学产品，开拓研学旅行横向合作，做好研学基地市场开放和研学导师培训。</w:t>
            </w:r>
          </w:p>
        </w:tc>
        <w:tc>
          <w:tcPr>
            <w:tcW w:w="1695" w:type="dxa"/>
            <w:vAlign w:val="center"/>
          </w:tcPr>
          <w:p>
            <w:pPr>
              <w:jc w:val="center"/>
              <w:rPr>
                <w:rFonts w:hint="default" w:ascii="仿宋" w:hAnsi="仿宋" w:eastAsia="仿宋" w:cs="仿宋"/>
                <w:color w:val="auto"/>
                <w:spacing w:val="-20"/>
                <w:sz w:val="24"/>
                <w:szCs w:val="24"/>
                <w:vertAlign w:val="baseline"/>
                <w:lang w:val="en-US" w:eastAsia="zh-CN"/>
              </w:rPr>
            </w:pPr>
            <w:r>
              <w:rPr>
                <w:rFonts w:hint="eastAsia" w:ascii="仿宋" w:hAnsi="仿宋" w:eastAsia="仿宋" w:cs="仿宋"/>
                <w:color w:val="auto"/>
                <w:spacing w:val="-20"/>
                <w:sz w:val="24"/>
                <w:szCs w:val="24"/>
                <w:vertAlign w:val="baseline"/>
                <w:lang w:val="en-US" w:eastAsia="zh-CN"/>
              </w:rPr>
              <w:t>旅游发展研究所</w:t>
            </w:r>
          </w:p>
        </w:tc>
        <w:tc>
          <w:tcPr>
            <w:tcW w:w="2280" w:type="dxa"/>
            <w:vAlign w:val="center"/>
          </w:tcPr>
          <w:p>
            <w:pPr>
              <w:jc w:val="center"/>
              <w:rPr>
                <w:rFonts w:hint="eastAsia"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各二级学院</w:t>
            </w:r>
          </w:p>
          <w:p>
            <w:pPr>
              <w:jc w:val="center"/>
              <w:rPr>
                <w:rFonts w:hint="eastAsia"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科研处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85" w:type="dxa"/>
            <w:vMerge w:val="continue"/>
            <w:vAlign w:val="center"/>
          </w:tcPr>
          <w:p>
            <w:pPr>
              <w:jc w:val="center"/>
              <w:rPr>
                <w:rFonts w:hint="eastAsia" w:ascii="仿宋" w:hAnsi="仿宋" w:eastAsia="仿宋" w:cs="仿宋"/>
                <w:color w:val="auto"/>
                <w:spacing w:val="0"/>
                <w:sz w:val="24"/>
                <w:szCs w:val="24"/>
                <w:vertAlign w:val="baseline"/>
                <w:lang w:eastAsia="zh-CN"/>
              </w:rPr>
            </w:pPr>
          </w:p>
        </w:tc>
        <w:tc>
          <w:tcPr>
            <w:tcW w:w="645" w:type="dxa"/>
            <w:vAlign w:val="center"/>
          </w:tcPr>
          <w:p>
            <w:pPr>
              <w:jc w:val="center"/>
              <w:rPr>
                <w:rFonts w:hint="default"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98</w:t>
            </w:r>
          </w:p>
        </w:tc>
        <w:tc>
          <w:tcPr>
            <w:tcW w:w="8963" w:type="dxa"/>
            <w:vAlign w:val="center"/>
          </w:tcPr>
          <w:p>
            <w:pPr>
              <w:jc w:val="both"/>
              <w:rPr>
                <w:rFonts w:hint="eastAsia"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健全校园景区运营机制。</w:t>
            </w:r>
          </w:p>
        </w:tc>
        <w:tc>
          <w:tcPr>
            <w:tcW w:w="1695" w:type="dxa"/>
            <w:vAlign w:val="center"/>
          </w:tcPr>
          <w:p>
            <w:pPr>
              <w:jc w:val="center"/>
              <w:rPr>
                <w:rFonts w:hint="eastAsia" w:ascii="仿宋" w:hAnsi="仿宋" w:eastAsia="仿宋" w:cs="仿宋"/>
                <w:color w:val="auto"/>
                <w:spacing w:val="-20"/>
                <w:sz w:val="24"/>
                <w:szCs w:val="24"/>
                <w:vertAlign w:val="baseline"/>
                <w:lang w:eastAsia="zh-CN"/>
              </w:rPr>
            </w:pPr>
            <w:r>
              <w:rPr>
                <w:rFonts w:hint="eastAsia" w:ascii="仿宋" w:hAnsi="仿宋" w:eastAsia="仿宋" w:cs="仿宋"/>
                <w:color w:val="auto"/>
                <w:spacing w:val="-20"/>
                <w:sz w:val="24"/>
                <w:szCs w:val="24"/>
                <w:vertAlign w:val="baseline"/>
                <w:lang w:val="en-US" w:eastAsia="zh-CN"/>
              </w:rPr>
              <w:t>旅游发展研究所</w:t>
            </w:r>
          </w:p>
        </w:tc>
        <w:tc>
          <w:tcPr>
            <w:tcW w:w="2280" w:type="dxa"/>
            <w:vAlign w:val="center"/>
          </w:tcPr>
          <w:p>
            <w:pPr>
              <w:jc w:val="center"/>
              <w:rPr>
                <w:rFonts w:hint="eastAsia"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旅游学院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85" w:type="dxa"/>
            <w:vMerge w:val="continue"/>
            <w:vAlign w:val="center"/>
          </w:tcPr>
          <w:p>
            <w:pPr>
              <w:jc w:val="center"/>
              <w:rPr>
                <w:rFonts w:hint="eastAsia" w:ascii="仿宋" w:hAnsi="仿宋" w:eastAsia="仿宋" w:cs="仿宋"/>
                <w:color w:val="auto"/>
                <w:spacing w:val="0"/>
                <w:sz w:val="24"/>
                <w:szCs w:val="24"/>
                <w:vertAlign w:val="baseline"/>
                <w:lang w:eastAsia="zh-CN"/>
              </w:rPr>
            </w:pPr>
          </w:p>
        </w:tc>
        <w:tc>
          <w:tcPr>
            <w:tcW w:w="645" w:type="dxa"/>
            <w:vAlign w:val="center"/>
          </w:tcPr>
          <w:p>
            <w:pPr>
              <w:jc w:val="center"/>
              <w:rPr>
                <w:rFonts w:hint="default"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99</w:t>
            </w:r>
          </w:p>
        </w:tc>
        <w:tc>
          <w:tcPr>
            <w:tcW w:w="8963" w:type="dxa"/>
            <w:vAlign w:val="center"/>
          </w:tcPr>
          <w:p>
            <w:pPr>
              <w:jc w:val="both"/>
              <w:rPr>
                <w:rFonts w:hint="eastAsia"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举办第二届“乐创汇”研学产品创意SHOW，开展非遗讲座、知识竞赛、创意设计等特色节庆活动</w:t>
            </w:r>
          </w:p>
        </w:tc>
        <w:tc>
          <w:tcPr>
            <w:tcW w:w="1695" w:type="dxa"/>
            <w:vAlign w:val="center"/>
          </w:tcPr>
          <w:p>
            <w:pPr>
              <w:jc w:val="center"/>
              <w:rPr>
                <w:rFonts w:hint="eastAsia" w:ascii="仿宋" w:hAnsi="仿宋" w:eastAsia="仿宋" w:cs="仿宋"/>
                <w:color w:val="auto"/>
                <w:spacing w:val="-20"/>
                <w:sz w:val="24"/>
                <w:szCs w:val="24"/>
                <w:vertAlign w:val="baseline"/>
                <w:lang w:eastAsia="zh-CN"/>
              </w:rPr>
            </w:pPr>
            <w:r>
              <w:rPr>
                <w:rFonts w:hint="eastAsia" w:ascii="仿宋" w:hAnsi="仿宋" w:eastAsia="仿宋" w:cs="仿宋"/>
                <w:color w:val="auto"/>
                <w:spacing w:val="-20"/>
                <w:sz w:val="24"/>
                <w:szCs w:val="24"/>
                <w:vertAlign w:val="baseline"/>
                <w:lang w:val="en-US" w:eastAsia="zh-CN"/>
              </w:rPr>
              <w:t>旅游发展研究所</w:t>
            </w:r>
          </w:p>
        </w:tc>
        <w:tc>
          <w:tcPr>
            <w:tcW w:w="2280" w:type="dxa"/>
            <w:vAlign w:val="center"/>
          </w:tcPr>
          <w:p>
            <w:pPr>
              <w:jc w:val="center"/>
              <w:rPr>
                <w:rFonts w:hint="eastAsia"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各二级学院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85" w:type="dxa"/>
            <w:vMerge w:val="restart"/>
            <w:vAlign w:val="center"/>
          </w:tcPr>
          <w:p>
            <w:pPr>
              <w:jc w:val="center"/>
              <w:rPr>
                <w:rFonts w:hint="eastAsia" w:ascii="仿宋" w:hAnsi="仿宋" w:eastAsia="仿宋" w:cs="仿宋"/>
                <w:color w:val="auto"/>
                <w:spacing w:val="0"/>
                <w:sz w:val="24"/>
                <w:szCs w:val="24"/>
                <w:vertAlign w:val="baseline"/>
                <w:lang w:eastAsia="zh-CN"/>
              </w:rPr>
            </w:pPr>
            <w:r>
              <w:rPr>
                <w:rFonts w:hint="eastAsia" w:ascii="仿宋" w:hAnsi="仿宋" w:eastAsia="仿宋" w:cs="仿宋"/>
                <w:color w:val="auto"/>
                <w:spacing w:val="0"/>
                <w:sz w:val="24"/>
                <w:szCs w:val="24"/>
                <w:vertAlign w:val="baseline"/>
                <w:lang w:eastAsia="zh-CN"/>
              </w:rPr>
              <w:t>（</w:t>
            </w:r>
            <w:r>
              <w:rPr>
                <w:rFonts w:hint="eastAsia" w:ascii="仿宋" w:hAnsi="仿宋" w:eastAsia="仿宋" w:cs="仿宋"/>
                <w:color w:val="auto"/>
                <w:spacing w:val="0"/>
                <w:sz w:val="24"/>
                <w:szCs w:val="24"/>
                <w:vertAlign w:val="baseline"/>
                <w:lang w:val="en-US" w:eastAsia="zh-CN"/>
              </w:rPr>
              <w:t>二十二</w:t>
            </w:r>
            <w:r>
              <w:rPr>
                <w:rFonts w:hint="eastAsia" w:ascii="仿宋" w:hAnsi="仿宋" w:eastAsia="仿宋" w:cs="仿宋"/>
                <w:color w:val="auto"/>
                <w:spacing w:val="0"/>
                <w:sz w:val="24"/>
                <w:szCs w:val="24"/>
                <w:vertAlign w:val="baseline"/>
                <w:lang w:eastAsia="zh-CN"/>
              </w:rPr>
              <w:t>）优化资产及后勤管理</w:t>
            </w:r>
          </w:p>
        </w:tc>
        <w:tc>
          <w:tcPr>
            <w:tcW w:w="645" w:type="dxa"/>
            <w:vAlign w:val="center"/>
          </w:tcPr>
          <w:p>
            <w:pPr>
              <w:jc w:val="center"/>
              <w:rPr>
                <w:rFonts w:hint="default"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100</w:t>
            </w:r>
          </w:p>
        </w:tc>
        <w:tc>
          <w:tcPr>
            <w:tcW w:w="8963" w:type="dxa"/>
            <w:vAlign w:val="center"/>
          </w:tcPr>
          <w:p>
            <w:pPr>
              <w:jc w:val="both"/>
              <w:rPr>
                <w:rFonts w:hint="eastAsia"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做好财政预算编制，提高财务预算质量、管理和资金绩效。</w:t>
            </w:r>
          </w:p>
        </w:tc>
        <w:tc>
          <w:tcPr>
            <w:tcW w:w="1695" w:type="dxa"/>
            <w:vAlign w:val="center"/>
          </w:tcPr>
          <w:p>
            <w:pPr>
              <w:jc w:val="center"/>
              <w:rPr>
                <w:rFonts w:hint="default"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财务处</w:t>
            </w:r>
          </w:p>
        </w:tc>
        <w:tc>
          <w:tcPr>
            <w:tcW w:w="2280" w:type="dxa"/>
            <w:vAlign w:val="center"/>
          </w:tcPr>
          <w:p>
            <w:pPr>
              <w:jc w:val="center"/>
              <w:rPr>
                <w:rFonts w:hint="eastAsia"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各二级学院、各部门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85" w:type="dxa"/>
            <w:vMerge w:val="continue"/>
            <w:vAlign w:val="center"/>
          </w:tcPr>
          <w:p>
            <w:pPr>
              <w:jc w:val="center"/>
              <w:rPr>
                <w:rFonts w:hint="eastAsia" w:ascii="仿宋" w:hAnsi="仿宋" w:eastAsia="仿宋" w:cs="仿宋"/>
                <w:color w:val="auto"/>
                <w:spacing w:val="0"/>
                <w:sz w:val="24"/>
                <w:szCs w:val="24"/>
                <w:vertAlign w:val="baseline"/>
                <w:lang w:eastAsia="zh-CN"/>
              </w:rPr>
            </w:pPr>
          </w:p>
        </w:tc>
        <w:tc>
          <w:tcPr>
            <w:tcW w:w="645" w:type="dxa"/>
            <w:vAlign w:val="center"/>
          </w:tcPr>
          <w:p>
            <w:pPr>
              <w:jc w:val="center"/>
              <w:rPr>
                <w:rFonts w:hint="default"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101</w:t>
            </w:r>
          </w:p>
        </w:tc>
        <w:tc>
          <w:tcPr>
            <w:tcW w:w="8963" w:type="dxa"/>
            <w:vAlign w:val="center"/>
          </w:tcPr>
          <w:p>
            <w:pPr>
              <w:jc w:val="both"/>
              <w:rPr>
                <w:rFonts w:hint="eastAsia"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采购添置学生宿舍家具，改善学生住宿条件，提升配套设施水平。</w:t>
            </w:r>
          </w:p>
        </w:tc>
        <w:tc>
          <w:tcPr>
            <w:tcW w:w="1695" w:type="dxa"/>
            <w:vAlign w:val="center"/>
          </w:tcPr>
          <w:p>
            <w:pPr>
              <w:jc w:val="center"/>
              <w:rPr>
                <w:rFonts w:hint="default"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资产管理处</w:t>
            </w:r>
          </w:p>
        </w:tc>
        <w:tc>
          <w:tcPr>
            <w:tcW w:w="2280" w:type="dxa"/>
            <w:vAlign w:val="center"/>
          </w:tcPr>
          <w:p>
            <w:pPr>
              <w:jc w:val="center"/>
              <w:rPr>
                <w:rFonts w:hint="eastAsia"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学工处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85" w:type="dxa"/>
            <w:vMerge w:val="continue"/>
            <w:vAlign w:val="center"/>
          </w:tcPr>
          <w:p>
            <w:pPr>
              <w:jc w:val="center"/>
              <w:rPr>
                <w:rFonts w:hint="eastAsia" w:ascii="仿宋" w:hAnsi="仿宋" w:eastAsia="仿宋" w:cs="仿宋"/>
                <w:color w:val="auto"/>
                <w:spacing w:val="0"/>
                <w:sz w:val="24"/>
                <w:szCs w:val="24"/>
                <w:vertAlign w:val="baseline"/>
                <w:lang w:eastAsia="zh-CN"/>
              </w:rPr>
            </w:pPr>
          </w:p>
        </w:tc>
        <w:tc>
          <w:tcPr>
            <w:tcW w:w="645" w:type="dxa"/>
            <w:vAlign w:val="center"/>
          </w:tcPr>
          <w:p>
            <w:pPr>
              <w:jc w:val="center"/>
              <w:rPr>
                <w:rFonts w:hint="default"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102</w:t>
            </w:r>
          </w:p>
        </w:tc>
        <w:tc>
          <w:tcPr>
            <w:tcW w:w="8963" w:type="dxa"/>
            <w:vAlign w:val="center"/>
          </w:tcPr>
          <w:p>
            <w:pPr>
              <w:jc w:val="both"/>
              <w:rPr>
                <w:rFonts w:hint="eastAsia"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更新资产管理软件，提升资产管理信息化水平，提高资产管理效率。</w:t>
            </w:r>
          </w:p>
        </w:tc>
        <w:tc>
          <w:tcPr>
            <w:tcW w:w="1695" w:type="dxa"/>
            <w:vAlign w:val="center"/>
          </w:tcPr>
          <w:p>
            <w:pPr>
              <w:jc w:val="center"/>
              <w:rPr>
                <w:rFonts w:hint="eastAsia" w:ascii="仿宋" w:hAnsi="仿宋" w:eastAsia="仿宋" w:cs="仿宋"/>
                <w:color w:val="auto"/>
                <w:spacing w:val="0"/>
                <w:sz w:val="24"/>
                <w:szCs w:val="24"/>
                <w:vertAlign w:val="baseline"/>
                <w:lang w:eastAsia="zh-CN"/>
              </w:rPr>
            </w:pPr>
            <w:r>
              <w:rPr>
                <w:rFonts w:hint="eastAsia" w:ascii="仿宋" w:hAnsi="仿宋" w:eastAsia="仿宋" w:cs="仿宋"/>
                <w:color w:val="auto"/>
                <w:spacing w:val="0"/>
                <w:sz w:val="24"/>
                <w:szCs w:val="24"/>
                <w:vertAlign w:val="baseline"/>
                <w:lang w:val="en-US" w:eastAsia="zh-CN"/>
              </w:rPr>
              <w:t>资产管理处</w:t>
            </w:r>
          </w:p>
        </w:tc>
        <w:tc>
          <w:tcPr>
            <w:tcW w:w="2280" w:type="dxa"/>
            <w:vAlign w:val="center"/>
          </w:tcPr>
          <w:p>
            <w:pPr>
              <w:jc w:val="center"/>
              <w:rPr>
                <w:rFonts w:hint="eastAsia"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现教中心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85" w:type="dxa"/>
            <w:vMerge w:val="continue"/>
            <w:vAlign w:val="center"/>
          </w:tcPr>
          <w:p>
            <w:pPr>
              <w:jc w:val="center"/>
              <w:rPr>
                <w:rFonts w:hint="eastAsia" w:ascii="仿宋" w:hAnsi="仿宋" w:eastAsia="仿宋" w:cs="仿宋"/>
                <w:color w:val="auto"/>
                <w:spacing w:val="0"/>
                <w:sz w:val="24"/>
                <w:szCs w:val="24"/>
                <w:vertAlign w:val="baseline"/>
                <w:lang w:eastAsia="zh-CN"/>
              </w:rPr>
            </w:pPr>
          </w:p>
        </w:tc>
        <w:tc>
          <w:tcPr>
            <w:tcW w:w="645" w:type="dxa"/>
            <w:vAlign w:val="center"/>
          </w:tcPr>
          <w:p>
            <w:pPr>
              <w:jc w:val="center"/>
              <w:rPr>
                <w:rFonts w:hint="default"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103</w:t>
            </w:r>
          </w:p>
        </w:tc>
        <w:tc>
          <w:tcPr>
            <w:tcW w:w="8963" w:type="dxa"/>
            <w:vAlign w:val="center"/>
          </w:tcPr>
          <w:p>
            <w:pPr>
              <w:jc w:val="both"/>
              <w:rPr>
                <w:rFonts w:hint="eastAsia"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eastAsia="zh-CN"/>
              </w:rPr>
              <w:t>建立集保洁、绿化养护、水电维修、水电保障为一体的物业服务监督考核管理制度，全面细化物业服务标准。</w:t>
            </w:r>
          </w:p>
        </w:tc>
        <w:tc>
          <w:tcPr>
            <w:tcW w:w="1695" w:type="dxa"/>
            <w:vAlign w:val="center"/>
          </w:tcPr>
          <w:p>
            <w:pPr>
              <w:jc w:val="center"/>
              <w:rPr>
                <w:rFonts w:hint="default"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后勤管理处</w:t>
            </w:r>
          </w:p>
        </w:tc>
        <w:tc>
          <w:tcPr>
            <w:tcW w:w="2280" w:type="dxa"/>
            <w:vAlign w:val="center"/>
          </w:tcPr>
          <w:p>
            <w:pPr>
              <w:jc w:val="center"/>
              <w:rPr>
                <w:rFonts w:hint="eastAsia"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资产管理处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1185" w:type="dxa"/>
            <w:vMerge w:val="continue"/>
            <w:vAlign w:val="center"/>
          </w:tcPr>
          <w:p>
            <w:pPr>
              <w:jc w:val="center"/>
              <w:rPr>
                <w:rFonts w:hint="eastAsia" w:ascii="仿宋" w:hAnsi="仿宋" w:eastAsia="仿宋" w:cs="仿宋"/>
                <w:color w:val="auto"/>
                <w:spacing w:val="0"/>
                <w:sz w:val="24"/>
                <w:szCs w:val="24"/>
                <w:vertAlign w:val="baseline"/>
                <w:lang w:eastAsia="zh-CN"/>
              </w:rPr>
            </w:pPr>
          </w:p>
        </w:tc>
        <w:tc>
          <w:tcPr>
            <w:tcW w:w="645" w:type="dxa"/>
            <w:vAlign w:val="center"/>
          </w:tcPr>
          <w:p>
            <w:pPr>
              <w:jc w:val="center"/>
              <w:rPr>
                <w:rFonts w:hint="default"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104</w:t>
            </w:r>
          </w:p>
        </w:tc>
        <w:tc>
          <w:tcPr>
            <w:tcW w:w="8963" w:type="dxa"/>
            <w:vAlign w:val="center"/>
          </w:tcPr>
          <w:p>
            <w:pPr>
              <w:jc w:val="both"/>
              <w:rPr>
                <w:rFonts w:hint="eastAsia"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eastAsia="zh-CN"/>
              </w:rPr>
              <w:t>完善“互联网+”线上线下一体化后勤管理模式，推动“互联网+项目管理”“互联网+物业服务”等机制建设。</w:t>
            </w:r>
          </w:p>
        </w:tc>
        <w:tc>
          <w:tcPr>
            <w:tcW w:w="1695" w:type="dxa"/>
            <w:vAlign w:val="center"/>
          </w:tcPr>
          <w:p>
            <w:pPr>
              <w:jc w:val="center"/>
              <w:rPr>
                <w:rFonts w:hint="eastAsia" w:ascii="仿宋" w:hAnsi="仿宋" w:eastAsia="仿宋" w:cs="仿宋"/>
                <w:color w:val="auto"/>
                <w:spacing w:val="0"/>
                <w:sz w:val="24"/>
                <w:szCs w:val="24"/>
                <w:vertAlign w:val="baseline"/>
                <w:lang w:eastAsia="zh-CN"/>
              </w:rPr>
            </w:pPr>
            <w:r>
              <w:rPr>
                <w:rFonts w:hint="eastAsia" w:ascii="仿宋" w:hAnsi="仿宋" w:eastAsia="仿宋" w:cs="仿宋"/>
                <w:color w:val="auto"/>
                <w:spacing w:val="0"/>
                <w:sz w:val="24"/>
                <w:szCs w:val="24"/>
                <w:vertAlign w:val="baseline"/>
                <w:lang w:val="en-US" w:eastAsia="zh-CN"/>
              </w:rPr>
              <w:t>后勤管理处</w:t>
            </w:r>
          </w:p>
        </w:tc>
        <w:tc>
          <w:tcPr>
            <w:tcW w:w="2280" w:type="dxa"/>
            <w:vAlign w:val="center"/>
          </w:tcPr>
          <w:p>
            <w:pPr>
              <w:jc w:val="center"/>
              <w:rPr>
                <w:rFonts w:hint="eastAsia"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现教中心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1185" w:type="dxa"/>
            <w:vMerge w:val="continue"/>
            <w:vAlign w:val="center"/>
          </w:tcPr>
          <w:p>
            <w:pPr>
              <w:jc w:val="center"/>
              <w:rPr>
                <w:rFonts w:hint="eastAsia" w:ascii="仿宋" w:hAnsi="仿宋" w:eastAsia="仿宋" w:cs="仿宋"/>
                <w:color w:val="auto"/>
                <w:spacing w:val="0"/>
                <w:sz w:val="24"/>
                <w:szCs w:val="24"/>
                <w:vertAlign w:val="baseline"/>
                <w:lang w:eastAsia="zh-CN"/>
              </w:rPr>
            </w:pPr>
          </w:p>
        </w:tc>
        <w:tc>
          <w:tcPr>
            <w:tcW w:w="645" w:type="dxa"/>
            <w:vAlign w:val="center"/>
          </w:tcPr>
          <w:p>
            <w:pPr>
              <w:jc w:val="center"/>
              <w:rPr>
                <w:rFonts w:hint="eastAsia"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105</w:t>
            </w:r>
          </w:p>
        </w:tc>
        <w:tc>
          <w:tcPr>
            <w:tcW w:w="8963" w:type="dxa"/>
            <w:vAlign w:val="center"/>
          </w:tcPr>
          <w:p>
            <w:pPr>
              <w:jc w:val="both"/>
              <w:rPr>
                <w:rFonts w:hint="eastAsia" w:ascii="仿宋" w:hAnsi="仿宋" w:eastAsia="仿宋" w:cs="仿宋"/>
                <w:color w:val="auto"/>
                <w:spacing w:val="0"/>
                <w:sz w:val="24"/>
                <w:szCs w:val="24"/>
                <w:vertAlign w:val="baseline"/>
                <w:lang w:eastAsia="zh-CN"/>
              </w:rPr>
            </w:pPr>
            <w:r>
              <w:rPr>
                <w:rFonts w:hint="eastAsia" w:ascii="仿宋" w:hAnsi="仿宋" w:eastAsia="仿宋" w:cs="仿宋"/>
                <w:color w:val="auto"/>
                <w:spacing w:val="0"/>
                <w:sz w:val="24"/>
                <w:szCs w:val="24"/>
                <w:vertAlign w:val="baseline"/>
                <w:lang w:eastAsia="zh-CN"/>
              </w:rPr>
              <w:t>加快水电服务监测平台建设，</w:t>
            </w:r>
            <w:r>
              <w:rPr>
                <w:rFonts w:hint="eastAsia" w:ascii="仿宋" w:hAnsi="仿宋" w:eastAsia="仿宋" w:cs="仿宋"/>
                <w:color w:val="auto"/>
                <w:spacing w:val="0"/>
                <w:sz w:val="24"/>
                <w:szCs w:val="24"/>
                <w:vertAlign w:val="baseline"/>
                <w:lang w:val="en-US" w:eastAsia="zh-CN"/>
              </w:rPr>
              <w:t>开展校园环境整治行动，</w:t>
            </w:r>
            <w:r>
              <w:rPr>
                <w:rFonts w:hint="eastAsia" w:ascii="仿宋" w:hAnsi="仿宋" w:eastAsia="仿宋" w:cs="仿宋"/>
                <w:color w:val="auto"/>
                <w:spacing w:val="0"/>
                <w:sz w:val="24"/>
                <w:szCs w:val="24"/>
                <w:vertAlign w:val="baseline"/>
                <w:lang w:eastAsia="zh-CN"/>
              </w:rPr>
              <w:t>深化“小维修、大提升”零星维修</w:t>
            </w:r>
            <w:r>
              <w:rPr>
                <w:rFonts w:hint="eastAsia" w:ascii="仿宋" w:hAnsi="仿宋" w:eastAsia="仿宋" w:cs="仿宋"/>
                <w:color w:val="auto"/>
                <w:spacing w:val="0"/>
                <w:sz w:val="24"/>
                <w:szCs w:val="24"/>
                <w:vertAlign w:val="baseline"/>
                <w:lang w:val="en-US" w:eastAsia="zh-CN"/>
              </w:rPr>
              <w:t>，做好生活垃圾分类和减量工作</w:t>
            </w:r>
            <w:r>
              <w:rPr>
                <w:rFonts w:hint="eastAsia" w:ascii="仿宋" w:hAnsi="仿宋" w:eastAsia="仿宋" w:cs="仿宋"/>
                <w:color w:val="auto"/>
                <w:spacing w:val="0"/>
                <w:sz w:val="24"/>
                <w:szCs w:val="24"/>
                <w:vertAlign w:val="baseline"/>
                <w:lang w:eastAsia="zh-CN"/>
              </w:rPr>
              <w:t>。</w:t>
            </w:r>
          </w:p>
        </w:tc>
        <w:tc>
          <w:tcPr>
            <w:tcW w:w="1695" w:type="dxa"/>
            <w:vAlign w:val="center"/>
          </w:tcPr>
          <w:p>
            <w:pPr>
              <w:jc w:val="center"/>
              <w:rPr>
                <w:rFonts w:hint="eastAsia"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后勤管理处</w:t>
            </w:r>
          </w:p>
        </w:tc>
        <w:tc>
          <w:tcPr>
            <w:tcW w:w="2280" w:type="dxa"/>
            <w:vAlign w:val="center"/>
          </w:tcPr>
          <w:p>
            <w:pPr>
              <w:jc w:val="center"/>
              <w:rPr>
                <w:rFonts w:hint="eastAsia"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各二级学院、各部门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rPr>
        <w:tc>
          <w:tcPr>
            <w:tcW w:w="1185" w:type="dxa"/>
            <w:vMerge w:val="continue"/>
            <w:vAlign w:val="center"/>
          </w:tcPr>
          <w:p>
            <w:pPr>
              <w:jc w:val="center"/>
              <w:rPr>
                <w:rFonts w:hint="eastAsia" w:ascii="仿宋" w:hAnsi="仿宋" w:eastAsia="仿宋" w:cs="仿宋"/>
                <w:color w:val="auto"/>
                <w:spacing w:val="0"/>
                <w:sz w:val="24"/>
                <w:szCs w:val="24"/>
                <w:vertAlign w:val="baseline"/>
                <w:lang w:eastAsia="zh-CN"/>
              </w:rPr>
            </w:pPr>
          </w:p>
        </w:tc>
        <w:tc>
          <w:tcPr>
            <w:tcW w:w="645" w:type="dxa"/>
            <w:vAlign w:val="center"/>
          </w:tcPr>
          <w:p>
            <w:pPr>
              <w:jc w:val="center"/>
              <w:rPr>
                <w:rFonts w:hint="eastAsia"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106</w:t>
            </w:r>
          </w:p>
        </w:tc>
        <w:tc>
          <w:tcPr>
            <w:tcW w:w="8963" w:type="dxa"/>
            <w:vAlign w:val="center"/>
          </w:tcPr>
          <w:p>
            <w:pPr>
              <w:jc w:val="both"/>
              <w:rPr>
                <w:rFonts w:hint="eastAsia" w:ascii="仿宋" w:hAnsi="仿宋" w:eastAsia="仿宋" w:cs="仿宋"/>
                <w:color w:val="auto"/>
                <w:spacing w:val="0"/>
                <w:sz w:val="24"/>
                <w:szCs w:val="24"/>
                <w:vertAlign w:val="baseline"/>
                <w:lang w:eastAsia="zh-CN"/>
              </w:rPr>
            </w:pPr>
            <w:r>
              <w:rPr>
                <w:rFonts w:hint="eastAsia" w:ascii="仿宋" w:hAnsi="仿宋" w:eastAsia="仿宋" w:cs="仿宋"/>
                <w:color w:val="auto"/>
                <w:spacing w:val="0"/>
                <w:sz w:val="24"/>
                <w:szCs w:val="24"/>
                <w:vertAlign w:val="baseline"/>
                <w:lang w:eastAsia="zh-CN"/>
              </w:rPr>
              <w:t>开展“食堂开放日”“校园环境整治月”“节能宣传周”“节约粮食宣传周”“校园美食文化节”“垃圾分类宣传及旧物回收活动”等主题活动，强化节能降耗、低碳环保意识。</w:t>
            </w:r>
          </w:p>
        </w:tc>
        <w:tc>
          <w:tcPr>
            <w:tcW w:w="1695" w:type="dxa"/>
            <w:vAlign w:val="center"/>
          </w:tcPr>
          <w:p>
            <w:pPr>
              <w:jc w:val="center"/>
              <w:rPr>
                <w:rFonts w:hint="eastAsia"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后勤管理处</w:t>
            </w:r>
          </w:p>
        </w:tc>
        <w:tc>
          <w:tcPr>
            <w:tcW w:w="2280" w:type="dxa"/>
            <w:vAlign w:val="center"/>
          </w:tcPr>
          <w:p>
            <w:pPr>
              <w:jc w:val="center"/>
              <w:rPr>
                <w:rFonts w:hint="eastAsia"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各二级学院、各部门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1185" w:type="dxa"/>
            <w:vMerge w:val="restart"/>
            <w:vAlign w:val="center"/>
          </w:tcPr>
          <w:p>
            <w:pPr>
              <w:jc w:val="center"/>
              <w:rPr>
                <w:rFonts w:hint="eastAsia" w:ascii="仿宋" w:hAnsi="仿宋" w:eastAsia="仿宋" w:cs="仿宋"/>
                <w:color w:val="auto"/>
                <w:spacing w:val="0"/>
                <w:sz w:val="24"/>
                <w:szCs w:val="24"/>
                <w:vertAlign w:val="baseline"/>
                <w:lang w:eastAsia="zh-CN"/>
              </w:rPr>
            </w:pPr>
            <w:r>
              <w:rPr>
                <w:rFonts w:hint="eastAsia" w:ascii="仿宋" w:hAnsi="仿宋" w:eastAsia="仿宋" w:cs="仿宋"/>
                <w:color w:val="auto"/>
                <w:spacing w:val="0"/>
                <w:sz w:val="24"/>
                <w:szCs w:val="24"/>
                <w:vertAlign w:val="baseline"/>
                <w:lang w:eastAsia="zh-CN"/>
              </w:rPr>
              <w:t>（</w:t>
            </w:r>
            <w:r>
              <w:rPr>
                <w:rFonts w:hint="eastAsia" w:ascii="仿宋" w:hAnsi="仿宋" w:eastAsia="仿宋" w:cs="仿宋"/>
                <w:color w:val="auto"/>
                <w:spacing w:val="0"/>
                <w:sz w:val="24"/>
                <w:szCs w:val="24"/>
                <w:vertAlign w:val="baseline"/>
                <w:lang w:val="en-US" w:eastAsia="zh-CN"/>
              </w:rPr>
              <w:t>二十三</w:t>
            </w:r>
            <w:r>
              <w:rPr>
                <w:rFonts w:hint="eastAsia" w:ascii="仿宋" w:hAnsi="仿宋" w:eastAsia="仿宋" w:cs="仿宋"/>
                <w:color w:val="auto"/>
                <w:spacing w:val="0"/>
                <w:sz w:val="24"/>
                <w:szCs w:val="24"/>
                <w:vertAlign w:val="baseline"/>
                <w:lang w:eastAsia="zh-CN"/>
              </w:rPr>
              <w:t>）加强疫情防控和医疗服务</w:t>
            </w:r>
          </w:p>
        </w:tc>
        <w:tc>
          <w:tcPr>
            <w:tcW w:w="645" w:type="dxa"/>
            <w:vAlign w:val="center"/>
          </w:tcPr>
          <w:p>
            <w:pPr>
              <w:jc w:val="center"/>
              <w:rPr>
                <w:rFonts w:hint="default"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107</w:t>
            </w:r>
          </w:p>
        </w:tc>
        <w:tc>
          <w:tcPr>
            <w:tcW w:w="8963" w:type="dxa"/>
            <w:vAlign w:val="center"/>
          </w:tcPr>
          <w:p>
            <w:pPr>
              <w:jc w:val="both"/>
              <w:rPr>
                <w:rFonts w:hint="eastAsia"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eastAsia="zh-CN"/>
              </w:rPr>
              <w:t>严格落实</w:t>
            </w:r>
            <w:r>
              <w:rPr>
                <w:rFonts w:hint="eastAsia" w:ascii="仿宋" w:hAnsi="仿宋" w:eastAsia="仿宋" w:cs="仿宋"/>
                <w:color w:val="auto"/>
                <w:spacing w:val="0"/>
                <w:sz w:val="24"/>
                <w:szCs w:val="24"/>
                <w:vertAlign w:val="baseline"/>
                <w:lang w:val="en-US" w:eastAsia="zh-CN"/>
              </w:rPr>
              <w:t>疫情防控工作要求</w:t>
            </w:r>
            <w:r>
              <w:rPr>
                <w:rFonts w:hint="eastAsia" w:ascii="仿宋" w:hAnsi="仿宋" w:eastAsia="仿宋" w:cs="仿宋"/>
                <w:color w:val="auto"/>
                <w:spacing w:val="0"/>
                <w:sz w:val="24"/>
                <w:szCs w:val="24"/>
                <w:vertAlign w:val="baseline"/>
                <w:lang w:eastAsia="zh-CN"/>
              </w:rPr>
              <w:t>，科学研判疫情防控形势，完善落实学校疫情防控措施及医疗救助方案，精准落实各项防控措施。</w:t>
            </w:r>
          </w:p>
        </w:tc>
        <w:tc>
          <w:tcPr>
            <w:tcW w:w="1695" w:type="dxa"/>
            <w:vAlign w:val="center"/>
          </w:tcPr>
          <w:p>
            <w:pPr>
              <w:jc w:val="center"/>
              <w:rPr>
                <w:rFonts w:hint="default"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党政办公室</w:t>
            </w:r>
          </w:p>
        </w:tc>
        <w:tc>
          <w:tcPr>
            <w:tcW w:w="2280" w:type="dxa"/>
            <w:vAlign w:val="center"/>
          </w:tcPr>
          <w:p>
            <w:pPr>
              <w:jc w:val="center"/>
              <w:rPr>
                <w:rFonts w:hint="eastAsia" w:ascii="仿宋" w:hAnsi="仿宋" w:eastAsia="仿宋" w:cs="仿宋"/>
                <w:color w:val="auto"/>
                <w:spacing w:val="-2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卫生所、</w:t>
            </w:r>
            <w:r>
              <w:rPr>
                <w:rFonts w:hint="eastAsia" w:ascii="仿宋" w:hAnsi="仿宋" w:eastAsia="仿宋" w:cs="仿宋"/>
                <w:color w:val="auto"/>
                <w:spacing w:val="-20"/>
                <w:sz w:val="24"/>
                <w:szCs w:val="24"/>
                <w:vertAlign w:val="baseline"/>
                <w:lang w:val="en-US" w:eastAsia="zh-CN"/>
              </w:rPr>
              <w:t>安全稳定处</w:t>
            </w:r>
          </w:p>
          <w:p>
            <w:pPr>
              <w:jc w:val="center"/>
              <w:rPr>
                <w:rFonts w:hint="eastAsia"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后勤管理处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85" w:type="dxa"/>
            <w:vMerge w:val="continue"/>
            <w:vAlign w:val="center"/>
          </w:tcPr>
          <w:p>
            <w:pPr>
              <w:jc w:val="center"/>
              <w:rPr>
                <w:rFonts w:hint="eastAsia" w:ascii="仿宋" w:hAnsi="仿宋" w:eastAsia="仿宋" w:cs="仿宋"/>
                <w:color w:val="auto"/>
                <w:spacing w:val="0"/>
                <w:sz w:val="24"/>
                <w:szCs w:val="24"/>
                <w:vertAlign w:val="baseline"/>
                <w:lang w:eastAsia="zh-CN"/>
              </w:rPr>
            </w:pPr>
          </w:p>
        </w:tc>
        <w:tc>
          <w:tcPr>
            <w:tcW w:w="645" w:type="dxa"/>
            <w:vAlign w:val="center"/>
          </w:tcPr>
          <w:p>
            <w:pPr>
              <w:jc w:val="center"/>
              <w:rPr>
                <w:rFonts w:hint="default"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108</w:t>
            </w:r>
          </w:p>
        </w:tc>
        <w:tc>
          <w:tcPr>
            <w:tcW w:w="8963" w:type="dxa"/>
            <w:vAlign w:val="center"/>
          </w:tcPr>
          <w:p>
            <w:pPr>
              <w:jc w:val="both"/>
              <w:rPr>
                <w:rFonts w:hint="eastAsia"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eastAsia="zh-CN"/>
              </w:rPr>
              <w:t>持续推进新冠病毒核酸检测适时抽检工作，强化新冠疫苗接种工作，做到在校师生员工应接尽接。</w:t>
            </w:r>
          </w:p>
        </w:tc>
        <w:tc>
          <w:tcPr>
            <w:tcW w:w="1695" w:type="dxa"/>
            <w:vAlign w:val="center"/>
          </w:tcPr>
          <w:p>
            <w:pPr>
              <w:jc w:val="center"/>
              <w:rPr>
                <w:rFonts w:hint="default"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卫生所</w:t>
            </w:r>
          </w:p>
        </w:tc>
        <w:tc>
          <w:tcPr>
            <w:tcW w:w="2280" w:type="dxa"/>
            <w:vAlign w:val="center"/>
          </w:tcPr>
          <w:p>
            <w:pPr>
              <w:jc w:val="center"/>
              <w:rPr>
                <w:rFonts w:hint="eastAsia"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各二级学院</w:t>
            </w:r>
          </w:p>
          <w:p>
            <w:pPr>
              <w:jc w:val="center"/>
              <w:rPr>
                <w:rFonts w:hint="eastAsia"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各部门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85" w:type="dxa"/>
            <w:vMerge w:val="continue"/>
            <w:vAlign w:val="center"/>
          </w:tcPr>
          <w:p>
            <w:pPr>
              <w:jc w:val="center"/>
              <w:rPr>
                <w:rFonts w:hint="eastAsia" w:ascii="仿宋" w:hAnsi="仿宋" w:eastAsia="仿宋" w:cs="仿宋"/>
                <w:color w:val="auto"/>
                <w:spacing w:val="0"/>
                <w:sz w:val="24"/>
                <w:szCs w:val="24"/>
                <w:vertAlign w:val="baseline"/>
                <w:lang w:eastAsia="zh-CN"/>
              </w:rPr>
            </w:pPr>
          </w:p>
        </w:tc>
        <w:tc>
          <w:tcPr>
            <w:tcW w:w="645" w:type="dxa"/>
            <w:vAlign w:val="center"/>
          </w:tcPr>
          <w:p>
            <w:pPr>
              <w:jc w:val="center"/>
              <w:rPr>
                <w:rFonts w:hint="default"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109</w:t>
            </w:r>
          </w:p>
        </w:tc>
        <w:tc>
          <w:tcPr>
            <w:tcW w:w="8963" w:type="dxa"/>
            <w:vAlign w:val="center"/>
          </w:tcPr>
          <w:p>
            <w:pPr>
              <w:jc w:val="both"/>
              <w:rPr>
                <w:rFonts w:hint="eastAsia"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eastAsia="zh-CN"/>
              </w:rPr>
              <w:t>改善医疗硬件设施，建立</w:t>
            </w:r>
            <w:r>
              <w:rPr>
                <w:rFonts w:hint="eastAsia" w:ascii="仿宋" w:hAnsi="仿宋" w:eastAsia="仿宋" w:cs="仿宋"/>
                <w:color w:val="auto"/>
                <w:spacing w:val="0"/>
                <w:sz w:val="24"/>
                <w:szCs w:val="24"/>
                <w:vertAlign w:val="baseline"/>
                <w:lang w:val="en-US" w:eastAsia="zh-CN"/>
              </w:rPr>
              <w:t>大学生医保</w:t>
            </w:r>
            <w:r>
              <w:rPr>
                <w:rFonts w:hint="eastAsia" w:ascii="仿宋" w:hAnsi="仿宋" w:eastAsia="仿宋" w:cs="仿宋"/>
                <w:color w:val="auto"/>
                <w:spacing w:val="0"/>
                <w:sz w:val="24"/>
                <w:szCs w:val="24"/>
                <w:vertAlign w:val="baseline"/>
                <w:lang w:eastAsia="zh-CN"/>
              </w:rPr>
              <w:t>数字平台，优化医保医疗服务</w:t>
            </w:r>
            <w:r>
              <w:rPr>
                <w:rFonts w:hint="eastAsia" w:ascii="仿宋" w:hAnsi="仿宋" w:eastAsia="仿宋" w:cs="仿宋"/>
                <w:color w:val="auto"/>
                <w:spacing w:val="0"/>
                <w:sz w:val="24"/>
                <w:szCs w:val="24"/>
                <w:vertAlign w:val="baseline"/>
                <w:lang w:val="en-US" w:eastAsia="zh-CN"/>
              </w:rPr>
              <w:t>条件，</w:t>
            </w:r>
            <w:r>
              <w:rPr>
                <w:rFonts w:hint="eastAsia" w:ascii="仿宋" w:hAnsi="仿宋" w:eastAsia="仿宋" w:cs="仿宋"/>
                <w:color w:val="auto"/>
                <w:spacing w:val="0"/>
                <w:sz w:val="24"/>
                <w:szCs w:val="24"/>
                <w:vertAlign w:val="baseline"/>
                <w:lang w:eastAsia="zh-CN"/>
              </w:rPr>
              <w:t>提升医疗服务水平。</w:t>
            </w:r>
          </w:p>
        </w:tc>
        <w:tc>
          <w:tcPr>
            <w:tcW w:w="1695" w:type="dxa"/>
            <w:vAlign w:val="center"/>
          </w:tcPr>
          <w:p>
            <w:pPr>
              <w:jc w:val="center"/>
              <w:rPr>
                <w:rFonts w:hint="eastAsia" w:ascii="仿宋" w:hAnsi="仿宋" w:eastAsia="仿宋" w:cs="仿宋"/>
                <w:color w:val="auto"/>
                <w:spacing w:val="0"/>
                <w:sz w:val="24"/>
                <w:szCs w:val="24"/>
                <w:vertAlign w:val="baseline"/>
                <w:lang w:eastAsia="zh-CN"/>
              </w:rPr>
            </w:pPr>
            <w:r>
              <w:rPr>
                <w:rFonts w:hint="eastAsia" w:ascii="仿宋" w:hAnsi="仿宋" w:eastAsia="仿宋" w:cs="仿宋"/>
                <w:color w:val="auto"/>
                <w:spacing w:val="0"/>
                <w:sz w:val="24"/>
                <w:szCs w:val="24"/>
                <w:vertAlign w:val="baseline"/>
                <w:lang w:val="en-US" w:eastAsia="zh-CN"/>
              </w:rPr>
              <w:t>卫生所</w:t>
            </w:r>
          </w:p>
        </w:tc>
        <w:tc>
          <w:tcPr>
            <w:tcW w:w="2280" w:type="dxa"/>
            <w:vAlign w:val="center"/>
          </w:tcPr>
          <w:p>
            <w:pPr>
              <w:jc w:val="center"/>
              <w:rPr>
                <w:rFonts w:hint="eastAsia"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现教中心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85" w:type="dxa"/>
            <w:vMerge w:val="continue"/>
            <w:vAlign w:val="center"/>
          </w:tcPr>
          <w:p>
            <w:pPr>
              <w:jc w:val="center"/>
              <w:rPr>
                <w:rFonts w:hint="eastAsia" w:ascii="仿宋" w:hAnsi="仿宋" w:eastAsia="仿宋" w:cs="仿宋"/>
                <w:color w:val="auto"/>
                <w:spacing w:val="0"/>
                <w:sz w:val="24"/>
                <w:szCs w:val="24"/>
                <w:vertAlign w:val="baseline"/>
                <w:lang w:eastAsia="zh-CN"/>
              </w:rPr>
            </w:pPr>
          </w:p>
        </w:tc>
        <w:tc>
          <w:tcPr>
            <w:tcW w:w="645" w:type="dxa"/>
            <w:vAlign w:val="center"/>
          </w:tcPr>
          <w:p>
            <w:pPr>
              <w:jc w:val="center"/>
              <w:rPr>
                <w:rFonts w:hint="default"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110</w:t>
            </w:r>
          </w:p>
        </w:tc>
        <w:tc>
          <w:tcPr>
            <w:tcW w:w="8963" w:type="dxa"/>
            <w:vAlign w:val="center"/>
          </w:tcPr>
          <w:p>
            <w:pPr>
              <w:jc w:val="both"/>
              <w:rPr>
                <w:rFonts w:hint="eastAsia"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严格</w:t>
            </w:r>
            <w:r>
              <w:rPr>
                <w:rFonts w:hint="eastAsia" w:ascii="仿宋" w:hAnsi="仿宋" w:eastAsia="仿宋" w:cs="仿宋"/>
                <w:color w:val="auto"/>
                <w:spacing w:val="0"/>
                <w:sz w:val="24"/>
                <w:szCs w:val="24"/>
                <w:vertAlign w:val="baseline"/>
                <w:lang w:eastAsia="zh-CN"/>
              </w:rPr>
              <w:t>落实学生因病缺勤病因追查登记、传染病病愈返校复课查验</w:t>
            </w:r>
            <w:r>
              <w:rPr>
                <w:rFonts w:hint="eastAsia" w:ascii="仿宋" w:hAnsi="仿宋" w:eastAsia="仿宋" w:cs="仿宋"/>
                <w:color w:val="auto"/>
                <w:spacing w:val="0"/>
                <w:sz w:val="24"/>
                <w:szCs w:val="24"/>
                <w:vertAlign w:val="baseline"/>
                <w:lang w:val="en-US" w:eastAsia="zh-CN"/>
              </w:rPr>
              <w:t>工作</w:t>
            </w:r>
            <w:r>
              <w:rPr>
                <w:rFonts w:hint="eastAsia" w:ascii="仿宋" w:hAnsi="仿宋" w:eastAsia="仿宋" w:cs="仿宋"/>
                <w:color w:val="auto"/>
                <w:spacing w:val="0"/>
                <w:sz w:val="24"/>
                <w:szCs w:val="24"/>
                <w:vertAlign w:val="baseline"/>
                <w:lang w:eastAsia="zh-CN"/>
              </w:rPr>
              <w:t>制度，做到校园传染病早发现、早报告、早隔离、早治疗。</w:t>
            </w:r>
          </w:p>
        </w:tc>
        <w:tc>
          <w:tcPr>
            <w:tcW w:w="1695" w:type="dxa"/>
            <w:vAlign w:val="center"/>
          </w:tcPr>
          <w:p>
            <w:pPr>
              <w:jc w:val="center"/>
              <w:rPr>
                <w:rFonts w:hint="eastAsia" w:ascii="仿宋" w:hAnsi="仿宋" w:eastAsia="仿宋" w:cs="仿宋"/>
                <w:color w:val="auto"/>
                <w:spacing w:val="0"/>
                <w:sz w:val="24"/>
                <w:szCs w:val="24"/>
                <w:vertAlign w:val="baseline"/>
                <w:lang w:eastAsia="zh-CN"/>
              </w:rPr>
            </w:pPr>
            <w:r>
              <w:rPr>
                <w:rFonts w:hint="eastAsia" w:ascii="仿宋" w:hAnsi="仿宋" w:eastAsia="仿宋" w:cs="仿宋"/>
                <w:color w:val="auto"/>
                <w:spacing w:val="0"/>
                <w:sz w:val="24"/>
                <w:szCs w:val="24"/>
                <w:vertAlign w:val="baseline"/>
                <w:lang w:val="en-US" w:eastAsia="zh-CN"/>
              </w:rPr>
              <w:t>卫生所</w:t>
            </w:r>
          </w:p>
        </w:tc>
        <w:tc>
          <w:tcPr>
            <w:tcW w:w="2280" w:type="dxa"/>
            <w:vAlign w:val="center"/>
          </w:tcPr>
          <w:p>
            <w:pPr>
              <w:jc w:val="center"/>
              <w:rPr>
                <w:rFonts w:hint="eastAsia"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学工处</w:t>
            </w:r>
          </w:p>
          <w:p>
            <w:pPr>
              <w:jc w:val="center"/>
              <w:rPr>
                <w:rFonts w:hint="eastAsia"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各二级学院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85" w:type="dxa"/>
            <w:vMerge w:val="continue"/>
            <w:vAlign w:val="center"/>
          </w:tcPr>
          <w:p>
            <w:pPr>
              <w:jc w:val="center"/>
              <w:rPr>
                <w:rFonts w:hint="eastAsia" w:ascii="仿宋" w:hAnsi="仿宋" w:eastAsia="仿宋" w:cs="仿宋"/>
                <w:color w:val="auto"/>
                <w:spacing w:val="0"/>
                <w:sz w:val="24"/>
                <w:szCs w:val="24"/>
                <w:vertAlign w:val="baseline"/>
                <w:lang w:eastAsia="zh-CN"/>
              </w:rPr>
            </w:pPr>
          </w:p>
        </w:tc>
        <w:tc>
          <w:tcPr>
            <w:tcW w:w="645" w:type="dxa"/>
            <w:vAlign w:val="center"/>
          </w:tcPr>
          <w:p>
            <w:pPr>
              <w:jc w:val="center"/>
              <w:rPr>
                <w:rFonts w:hint="default"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111</w:t>
            </w:r>
          </w:p>
        </w:tc>
        <w:tc>
          <w:tcPr>
            <w:tcW w:w="8963" w:type="dxa"/>
            <w:vAlign w:val="center"/>
          </w:tcPr>
          <w:p>
            <w:pPr>
              <w:jc w:val="both"/>
              <w:rPr>
                <w:rFonts w:hint="eastAsia"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eastAsia="zh-CN"/>
              </w:rPr>
              <w:t>规范药品管理，</w:t>
            </w:r>
            <w:r>
              <w:rPr>
                <w:rFonts w:hint="eastAsia" w:ascii="仿宋" w:hAnsi="仿宋" w:eastAsia="仿宋" w:cs="仿宋"/>
                <w:color w:val="auto"/>
                <w:spacing w:val="0"/>
                <w:sz w:val="24"/>
                <w:szCs w:val="24"/>
                <w:vertAlign w:val="baseline"/>
                <w:lang w:val="en-US" w:eastAsia="zh-CN"/>
              </w:rPr>
              <w:t>严</w:t>
            </w:r>
            <w:r>
              <w:rPr>
                <w:rFonts w:hint="eastAsia" w:ascii="仿宋" w:hAnsi="仿宋" w:eastAsia="仿宋" w:cs="仿宋"/>
                <w:color w:val="auto"/>
                <w:spacing w:val="0"/>
                <w:sz w:val="24"/>
                <w:szCs w:val="24"/>
                <w:vertAlign w:val="baseline"/>
                <w:lang w:eastAsia="zh-CN"/>
              </w:rPr>
              <w:t>把药品采购关、质量关，</w:t>
            </w:r>
            <w:r>
              <w:rPr>
                <w:rFonts w:hint="eastAsia" w:ascii="仿宋" w:hAnsi="仿宋" w:eastAsia="仿宋" w:cs="仿宋"/>
                <w:color w:val="auto"/>
                <w:spacing w:val="0"/>
                <w:sz w:val="24"/>
                <w:szCs w:val="24"/>
                <w:vertAlign w:val="baseline"/>
                <w:lang w:val="en-US" w:eastAsia="zh-CN"/>
              </w:rPr>
              <w:t>确保</w:t>
            </w:r>
            <w:r>
              <w:rPr>
                <w:rFonts w:hint="eastAsia" w:ascii="仿宋" w:hAnsi="仿宋" w:eastAsia="仿宋" w:cs="仿宋"/>
                <w:color w:val="auto"/>
                <w:spacing w:val="0"/>
                <w:sz w:val="24"/>
                <w:szCs w:val="24"/>
                <w:vertAlign w:val="baseline"/>
                <w:lang w:eastAsia="zh-CN"/>
              </w:rPr>
              <w:t>广大师生临床用药安全。</w:t>
            </w:r>
          </w:p>
        </w:tc>
        <w:tc>
          <w:tcPr>
            <w:tcW w:w="1695" w:type="dxa"/>
            <w:vAlign w:val="center"/>
          </w:tcPr>
          <w:p>
            <w:pPr>
              <w:jc w:val="center"/>
              <w:rPr>
                <w:rFonts w:hint="eastAsia" w:ascii="仿宋" w:hAnsi="仿宋" w:eastAsia="仿宋" w:cs="仿宋"/>
                <w:color w:val="auto"/>
                <w:spacing w:val="0"/>
                <w:sz w:val="24"/>
                <w:szCs w:val="24"/>
                <w:vertAlign w:val="baseline"/>
                <w:lang w:eastAsia="zh-CN"/>
              </w:rPr>
            </w:pPr>
            <w:r>
              <w:rPr>
                <w:rFonts w:hint="eastAsia" w:ascii="仿宋" w:hAnsi="仿宋" w:eastAsia="仿宋" w:cs="仿宋"/>
                <w:color w:val="auto"/>
                <w:spacing w:val="0"/>
                <w:sz w:val="24"/>
                <w:szCs w:val="24"/>
                <w:vertAlign w:val="baseline"/>
                <w:lang w:val="en-US" w:eastAsia="zh-CN"/>
              </w:rPr>
              <w:t>卫生所</w:t>
            </w:r>
          </w:p>
        </w:tc>
        <w:tc>
          <w:tcPr>
            <w:tcW w:w="2280" w:type="dxa"/>
            <w:vAlign w:val="center"/>
          </w:tcPr>
          <w:p>
            <w:pPr>
              <w:jc w:val="center"/>
              <w:rPr>
                <w:rFonts w:hint="eastAsia" w:ascii="仿宋" w:hAnsi="仿宋" w:eastAsia="仿宋" w:cs="仿宋"/>
                <w:color w:val="auto"/>
                <w:spacing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85" w:type="dxa"/>
            <w:vMerge w:val="continue"/>
            <w:vAlign w:val="center"/>
          </w:tcPr>
          <w:p>
            <w:pPr>
              <w:jc w:val="center"/>
              <w:rPr>
                <w:rFonts w:hint="eastAsia" w:ascii="仿宋" w:hAnsi="仿宋" w:eastAsia="仿宋" w:cs="仿宋"/>
                <w:color w:val="auto"/>
                <w:spacing w:val="0"/>
                <w:sz w:val="24"/>
                <w:szCs w:val="24"/>
                <w:vertAlign w:val="baseline"/>
                <w:lang w:eastAsia="zh-CN"/>
              </w:rPr>
            </w:pPr>
          </w:p>
        </w:tc>
        <w:tc>
          <w:tcPr>
            <w:tcW w:w="645" w:type="dxa"/>
            <w:vAlign w:val="center"/>
          </w:tcPr>
          <w:p>
            <w:pPr>
              <w:jc w:val="center"/>
              <w:rPr>
                <w:rFonts w:hint="default"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112</w:t>
            </w:r>
          </w:p>
        </w:tc>
        <w:tc>
          <w:tcPr>
            <w:tcW w:w="8963" w:type="dxa"/>
            <w:vAlign w:val="center"/>
          </w:tcPr>
          <w:p>
            <w:pPr>
              <w:jc w:val="both"/>
              <w:rPr>
                <w:rFonts w:hint="eastAsia"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eastAsia="zh-CN"/>
              </w:rPr>
              <w:t>依托旅商红十字会、青春健康同伴社广泛</w:t>
            </w:r>
            <w:r>
              <w:rPr>
                <w:rFonts w:hint="eastAsia" w:ascii="仿宋" w:hAnsi="仿宋" w:eastAsia="仿宋" w:cs="仿宋"/>
                <w:color w:val="auto"/>
                <w:spacing w:val="0"/>
                <w:sz w:val="24"/>
                <w:szCs w:val="24"/>
                <w:vertAlign w:val="baseline"/>
                <w:lang w:val="en-US" w:eastAsia="zh-CN"/>
              </w:rPr>
              <w:t>深入</w:t>
            </w:r>
            <w:r>
              <w:rPr>
                <w:rFonts w:hint="eastAsia" w:ascii="仿宋" w:hAnsi="仿宋" w:eastAsia="仿宋" w:cs="仿宋"/>
                <w:color w:val="auto"/>
                <w:spacing w:val="0"/>
                <w:sz w:val="24"/>
                <w:szCs w:val="24"/>
                <w:vertAlign w:val="baseline"/>
                <w:lang w:eastAsia="zh-CN"/>
              </w:rPr>
              <w:t>开展卫生健康</w:t>
            </w:r>
            <w:r>
              <w:rPr>
                <w:rFonts w:hint="eastAsia" w:ascii="仿宋" w:hAnsi="仿宋" w:eastAsia="仿宋" w:cs="仿宋"/>
                <w:color w:val="auto"/>
                <w:spacing w:val="0"/>
                <w:sz w:val="24"/>
                <w:szCs w:val="24"/>
                <w:vertAlign w:val="baseline"/>
                <w:lang w:val="en-US" w:eastAsia="zh-CN"/>
              </w:rPr>
              <w:t>宣教</w:t>
            </w:r>
            <w:r>
              <w:rPr>
                <w:rFonts w:hint="eastAsia" w:ascii="仿宋" w:hAnsi="仿宋" w:eastAsia="仿宋" w:cs="仿宋"/>
                <w:color w:val="auto"/>
                <w:spacing w:val="0"/>
                <w:sz w:val="24"/>
                <w:szCs w:val="24"/>
                <w:vertAlign w:val="baseline"/>
                <w:lang w:eastAsia="zh-CN"/>
              </w:rPr>
              <w:t>活动。</w:t>
            </w:r>
            <w:r>
              <w:rPr>
                <w:rFonts w:hint="eastAsia" w:ascii="仿宋" w:hAnsi="仿宋" w:eastAsia="仿宋" w:cs="仿宋"/>
                <w:color w:val="auto"/>
                <w:spacing w:val="0"/>
                <w:sz w:val="24"/>
                <w:szCs w:val="24"/>
                <w:vertAlign w:val="baseline"/>
                <w:lang w:val="en-US" w:eastAsia="zh-CN"/>
              </w:rPr>
              <w:t>加强与省市</w:t>
            </w:r>
            <w:r>
              <w:rPr>
                <w:rFonts w:hint="eastAsia" w:ascii="仿宋" w:hAnsi="仿宋" w:eastAsia="仿宋" w:cs="仿宋"/>
                <w:color w:val="auto"/>
                <w:spacing w:val="0"/>
                <w:sz w:val="24"/>
                <w:szCs w:val="24"/>
                <w:vertAlign w:val="baseline"/>
                <w:lang w:eastAsia="zh-CN"/>
              </w:rPr>
              <w:t>红十字会</w:t>
            </w:r>
            <w:r>
              <w:rPr>
                <w:rFonts w:hint="eastAsia" w:ascii="仿宋" w:hAnsi="仿宋" w:eastAsia="仿宋" w:cs="仿宋"/>
                <w:color w:val="auto"/>
                <w:spacing w:val="0"/>
                <w:sz w:val="24"/>
                <w:szCs w:val="24"/>
                <w:vertAlign w:val="baseline"/>
                <w:lang w:val="en-US" w:eastAsia="zh-CN"/>
              </w:rPr>
              <w:t>对接</w:t>
            </w:r>
            <w:r>
              <w:rPr>
                <w:rFonts w:hint="eastAsia" w:ascii="仿宋" w:hAnsi="仿宋" w:eastAsia="仿宋" w:cs="仿宋"/>
                <w:color w:val="auto"/>
                <w:spacing w:val="0"/>
                <w:sz w:val="24"/>
                <w:szCs w:val="24"/>
                <w:vertAlign w:val="baseline"/>
                <w:lang w:eastAsia="zh-CN"/>
              </w:rPr>
              <w:t>，常态化开展救护员培训，提高师生应对突发卫生事故的自救互救能力。</w:t>
            </w:r>
          </w:p>
        </w:tc>
        <w:tc>
          <w:tcPr>
            <w:tcW w:w="1695" w:type="dxa"/>
            <w:vAlign w:val="center"/>
          </w:tcPr>
          <w:p>
            <w:pPr>
              <w:jc w:val="center"/>
              <w:rPr>
                <w:rFonts w:hint="eastAsia" w:ascii="仿宋" w:hAnsi="仿宋" w:eastAsia="仿宋" w:cs="仿宋"/>
                <w:color w:val="auto"/>
                <w:spacing w:val="0"/>
                <w:sz w:val="24"/>
                <w:szCs w:val="24"/>
                <w:vertAlign w:val="baseline"/>
                <w:lang w:eastAsia="zh-CN"/>
              </w:rPr>
            </w:pPr>
            <w:r>
              <w:rPr>
                <w:rFonts w:hint="eastAsia" w:ascii="仿宋" w:hAnsi="仿宋" w:eastAsia="仿宋" w:cs="仿宋"/>
                <w:color w:val="auto"/>
                <w:spacing w:val="0"/>
                <w:sz w:val="24"/>
                <w:szCs w:val="24"/>
                <w:vertAlign w:val="baseline"/>
                <w:lang w:val="en-US" w:eastAsia="zh-CN"/>
              </w:rPr>
              <w:t>卫生所</w:t>
            </w:r>
          </w:p>
        </w:tc>
        <w:tc>
          <w:tcPr>
            <w:tcW w:w="2280" w:type="dxa"/>
            <w:vAlign w:val="center"/>
          </w:tcPr>
          <w:p>
            <w:pPr>
              <w:jc w:val="center"/>
              <w:rPr>
                <w:rFonts w:hint="eastAsia"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各二级学院、各部门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85" w:type="dxa"/>
            <w:vMerge w:val="restart"/>
            <w:vAlign w:val="center"/>
          </w:tcPr>
          <w:p>
            <w:pPr>
              <w:jc w:val="center"/>
              <w:rPr>
                <w:rFonts w:hint="eastAsia" w:ascii="仿宋" w:hAnsi="仿宋" w:eastAsia="仿宋" w:cs="仿宋"/>
                <w:color w:val="auto"/>
                <w:spacing w:val="0"/>
                <w:sz w:val="24"/>
                <w:szCs w:val="24"/>
                <w:vertAlign w:val="baseline"/>
                <w:lang w:eastAsia="zh-CN"/>
              </w:rPr>
            </w:pPr>
            <w:r>
              <w:rPr>
                <w:rFonts w:hint="eastAsia" w:ascii="仿宋" w:hAnsi="仿宋" w:eastAsia="仿宋" w:cs="仿宋"/>
                <w:color w:val="auto"/>
                <w:spacing w:val="0"/>
                <w:sz w:val="24"/>
                <w:szCs w:val="24"/>
                <w:vertAlign w:val="baseline"/>
                <w:lang w:val="en-US" w:eastAsia="zh-CN"/>
              </w:rPr>
              <w:t>（二十四）巩固安全稳定和谐校园环境</w:t>
            </w:r>
          </w:p>
        </w:tc>
        <w:tc>
          <w:tcPr>
            <w:tcW w:w="645" w:type="dxa"/>
            <w:vAlign w:val="center"/>
          </w:tcPr>
          <w:p>
            <w:pPr>
              <w:jc w:val="center"/>
              <w:rPr>
                <w:rFonts w:hint="default"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113</w:t>
            </w:r>
          </w:p>
        </w:tc>
        <w:tc>
          <w:tcPr>
            <w:tcW w:w="8963" w:type="dxa"/>
            <w:vAlign w:val="center"/>
          </w:tcPr>
          <w:p>
            <w:pPr>
              <w:jc w:val="both"/>
              <w:rPr>
                <w:rFonts w:hint="eastAsia"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加强平安校园建设，进一步完善制度、明确责任，确保校园安全管理制度化、规范化。</w:t>
            </w:r>
          </w:p>
        </w:tc>
        <w:tc>
          <w:tcPr>
            <w:tcW w:w="1695" w:type="dxa"/>
            <w:vAlign w:val="center"/>
          </w:tcPr>
          <w:p>
            <w:pPr>
              <w:jc w:val="center"/>
              <w:rPr>
                <w:rFonts w:hint="default"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安全稳定处</w:t>
            </w:r>
          </w:p>
        </w:tc>
        <w:tc>
          <w:tcPr>
            <w:tcW w:w="2280" w:type="dxa"/>
            <w:vAlign w:val="center"/>
          </w:tcPr>
          <w:p>
            <w:pPr>
              <w:jc w:val="center"/>
              <w:rPr>
                <w:rFonts w:hint="eastAsia"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各二级学院、各部门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85" w:type="dxa"/>
            <w:vMerge w:val="continue"/>
            <w:vAlign w:val="center"/>
          </w:tcPr>
          <w:p>
            <w:pPr>
              <w:jc w:val="center"/>
              <w:rPr>
                <w:rFonts w:hint="eastAsia" w:ascii="仿宋" w:hAnsi="仿宋" w:eastAsia="仿宋" w:cs="仿宋"/>
                <w:color w:val="auto"/>
                <w:spacing w:val="0"/>
                <w:sz w:val="24"/>
                <w:szCs w:val="24"/>
                <w:vertAlign w:val="baseline"/>
                <w:lang w:eastAsia="zh-CN"/>
              </w:rPr>
            </w:pPr>
          </w:p>
        </w:tc>
        <w:tc>
          <w:tcPr>
            <w:tcW w:w="645" w:type="dxa"/>
            <w:vAlign w:val="center"/>
          </w:tcPr>
          <w:p>
            <w:pPr>
              <w:jc w:val="center"/>
              <w:rPr>
                <w:rFonts w:hint="default"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114</w:t>
            </w:r>
          </w:p>
        </w:tc>
        <w:tc>
          <w:tcPr>
            <w:tcW w:w="8963" w:type="dxa"/>
            <w:vAlign w:val="center"/>
          </w:tcPr>
          <w:p>
            <w:pPr>
              <w:jc w:val="both"/>
              <w:rPr>
                <w:rFonts w:hint="eastAsia"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健全完善法制安全教育机制，增强师生法制观念和安全防范意识，健全完善矛盾纠纷排查调处机制，提高防范化解矛盾纠纷的能力。</w:t>
            </w:r>
          </w:p>
        </w:tc>
        <w:tc>
          <w:tcPr>
            <w:tcW w:w="1695" w:type="dxa"/>
            <w:vAlign w:val="center"/>
          </w:tcPr>
          <w:p>
            <w:pPr>
              <w:jc w:val="center"/>
              <w:rPr>
                <w:rFonts w:hint="eastAsia" w:ascii="仿宋" w:hAnsi="仿宋" w:eastAsia="仿宋" w:cs="仿宋"/>
                <w:color w:val="auto"/>
                <w:spacing w:val="0"/>
                <w:sz w:val="24"/>
                <w:szCs w:val="24"/>
                <w:vertAlign w:val="baseline"/>
                <w:lang w:eastAsia="zh-CN"/>
              </w:rPr>
            </w:pPr>
            <w:r>
              <w:rPr>
                <w:rFonts w:hint="eastAsia" w:ascii="仿宋" w:hAnsi="仿宋" w:eastAsia="仿宋" w:cs="仿宋"/>
                <w:color w:val="auto"/>
                <w:spacing w:val="0"/>
                <w:sz w:val="24"/>
                <w:szCs w:val="24"/>
                <w:vertAlign w:val="baseline"/>
                <w:lang w:val="en-US" w:eastAsia="zh-CN"/>
              </w:rPr>
              <w:t>安全稳定处</w:t>
            </w:r>
          </w:p>
        </w:tc>
        <w:tc>
          <w:tcPr>
            <w:tcW w:w="2280" w:type="dxa"/>
            <w:vAlign w:val="center"/>
          </w:tcPr>
          <w:p>
            <w:pPr>
              <w:jc w:val="center"/>
              <w:rPr>
                <w:rFonts w:hint="eastAsia"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各二级学院、各部门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85" w:type="dxa"/>
            <w:vMerge w:val="continue"/>
            <w:vAlign w:val="center"/>
          </w:tcPr>
          <w:p>
            <w:pPr>
              <w:jc w:val="center"/>
              <w:rPr>
                <w:rFonts w:hint="eastAsia" w:ascii="仿宋" w:hAnsi="仿宋" w:eastAsia="仿宋" w:cs="仿宋"/>
                <w:color w:val="auto"/>
                <w:spacing w:val="0"/>
                <w:sz w:val="24"/>
                <w:szCs w:val="24"/>
                <w:vertAlign w:val="baseline"/>
                <w:lang w:eastAsia="zh-CN"/>
              </w:rPr>
            </w:pPr>
          </w:p>
        </w:tc>
        <w:tc>
          <w:tcPr>
            <w:tcW w:w="645" w:type="dxa"/>
            <w:vAlign w:val="center"/>
          </w:tcPr>
          <w:p>
            <w:pPr>
              <w:jc w:val="center"/>
              <w:rPr>
                <w:rFonts w:hint="default"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115</w:t>
            </w:r>
          </w:p>
        </w:tc>
        <w:tc>
          <w:tcPr>
            <w:tcW w:w="8963" w:type="dxa"/>
            <w:vAlign w:val="center"/>
          </w:tcPr>
          <w:p>
            <w:pPr>
              <w:jc w:val="both"/>
              <w:rPr>
                <w:rFonts w:hint="eastAsia"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强化安全隐患排查和整改落实，坚持“日查月检”，常态化开展校园安全隐患治理，将各类不稳定、不安全、不和谐因素消除在萌芽状态。</w:t>
            </w:r>
          </w:p>
        </w:tc>
        <w:tc>
          <w:tcPr>
            <w:tcW w:w="1695" w:type="dxa"/>
            <w:vAlign w:val="center"/>
          </w:tcPr>
          <w:p>
            <w:pPr>
              <w:jc w:val="center"/>
              <w:rPr>
                <w:rFonts w:hint="eastAsia" w:ascii="仿宋" w:hAnsi="仿宋" w:eastAsia="仿宋" w:cs="仿宋"/>
                <w:color w:val="auto"/>
                <w:spacing w:val="0"/>
                <w:sz w:val="24"/>
                <w:szCs w:val="24"/>
                <w:vertAlign w:val="baseline"/>
                <w:lang w:eastAsia="zh-CN"/>
              </w:rPr>
            </w:pPr>
            <w:r>
              <w:rPr>
                <w:rFonts w:hint="eastAsia" w:ascii="仿宋" w:hAnsi="仿宋" w:eastAsia="仿宋" w:cs="仿宋"/>
                <w:color w:val="auto"/>
                <w:spacing w:val="0"/>
                <w:sz w:val="24"/>
                <w:szCs w:val="24"/>
                <w:vertAlign w:val="baseline"/>
                <w:lang w:val="en-US" w:eastAsia="zh-CN"/>
              </w:rPr>
              <w:t>安全稳定处</w:t>
            </w:r>
          </w:p>
        </w:tc>
        <w:tc>
          <w:tcPr>
            <w:tcW w:w="2280" w:type="dxa"/>
            <w:vAlign w:val="center"/>
          </w:tcPr>
          <w:p>
            <w:pPr>
              <w:jc w:val="center"/>
              <w:rPr>
                <w:rFonts w:hint="eastAsia"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各二级学院、各部门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85" w:type="dxa"/>
            <w:vMerge w:val="continue"/>
            <w:vAlign w:val="center"/>
          </w:tcPr>
          <w:p>
            <w:pPr>
              <w:jc w:val="center"/>
              <w:rPr>
                <w:rFonts w:hint="eastAsia" w:ascii="仿宋" w:hAnsi="仿宋" w:eastAsia="仿宋" w:cs="仿宋"/>
                <w:color w:val="auto"/>
                <w:spacing w:val="0"/>
                <w:sz w:val="24"/>
                <w:szCs w:val="24"/>
                <w:vertAlign w:val="baseline"/>
                <w:lang w:eastAsia="zh-CN"/>
              </w:rPr>
            </w:pPr>
          </w:p>
        </w:tc>
        <w:tc>
          <w:tcPr>
            <w:tcW w:w="645" w:type="dxa"/>
            <w:vAlign w:val="center"/>
          </w:tcPr>
          <w:p>
            <w:pPr>
              <w:jc w:val="center"/>
              <w:rPr>
                <w:rFonts w:hint="default"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116</w:t>
            </w:r>
          </w:p>
        </w:tc>
        <w:tc>
          <w:tcPr>
            <w:tcW w:w="8963" w:type="dxa"/>
            <w:vAlign w:val="center"/>
          </w:tcPr>
          <w:p>
            <w:pPr>
              <w:jc w:val="both"/>
              <w:rPr>
                <w:rFonts w:hint="eastAsia"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强化安全管理工作物质保障，做好学生宿舍独立式火灾烟雾报警器的安装、室外消火栓的维修改造、消防系统的维护保养。</w:t>
            </w:r>
          </w:p>
        </w:tc>
        <w:tc>
          <w:tcPr>
            <w:tcW w:w="1695" w:type="dxa"/>
            <w:vAlign w:val="center"/>
          </w:tcPr>
          <w:p>
            <w:pPr>
              <w:jc w:val="center"/>
              <w:rPr>
                <w:rFonts w:hint="eastAsia" w:ascii="仿宋" w:hAnsi="仿宋" w:eastAsia="仿宋" w:cs="仿宋"/>
                <w:color w:val="auto"/>
                <w:spacing w:val="0"/>
                <w:sz w:val="24"/>
                <w:szCs w:val="24"/>
                <w:vertAlign w:val="baseline"/>
                <w:lang w:eastAsia="zh-CN"/>
              </w:rPr>
            </w:pPr>
            <w:r>
              <w:rPr>
                <w:rFonts w:hint="eastAsia" w:ascii="仿宋" w:hAnsi="仿宋" w:eastAsia="仿宋" w:cs="仿宋"/>
                <w:color w:val="auto"/>
                <w:spacing w:val="0"/>
                <w:sz w:val="24"/>
                <w:szCs w:val="24"/>
                <w:vertAlign w:val="baseline"/>
                <w:lang w:val="en-US" w:eastAsia="zh-CN"/>
              </w:rPr>
              <w:t>安全稳定处</w:t>
            </w:r>
          </w:p>
        </w:tc>
        <w:tc>
          <w:tcPr>
            <w:tcW w:w="2280" w:type="dxa"/>
            <w:vAlign w:val="center"/>
          </w:tcPr>
          <w:p>
            <w:pPr>
              <w:jc w:val="center"/>
              <w:rPr>
                <w:rFonts w:hint="eastAsia"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学工处</w:t>
            </w:r>
          </w:p>
          <w:p>
            <w:pPr>
              <w:jc w:val="center"/>
              <w:rPr>
                <w:rFonts w:hint="eastAsia"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资产管理处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85" w:type="dxa"/>
            <w:vMerge w:val="continue"/>
            <w:vAlign w:val="center"/>
          </w:tcPr>
          <w:p>
            <w:pPr>
              <w:jc w:val="center"/>
              <w:rPr>
                <w:rFonts w:hint="eastAsia" w:ascii="仿宋" w:hAnsi="仿宋" w:eastAsia="仿宋" w:cs="仿宋"/>
                <w:color w:val="auto"/>
                <w:spacing w:val="0"/>
                <w:sz w:val="24"/>
                <w:szCs w:val="24"/>
                <w:vertAlign w:val="baseline"/>
                <w:lang w:eastAsia="zh-CN"/>
              </w:rPr>
            </w:pPr>
          </w:p>
        </w:tc>
        <w:tc>
          <w:tcPr>
            <w:tcW w:w="645" w:type="dxa"/>
            <w:vAlign w:val="center"/>
          </w:tcPr>
          <w:p>
            <w:pPr>
              <w:jc w:val="center"/>
              <w:rPr>
                <w:rFonts w:hint="default"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117</w:t>
            </w:r>
          </w:p>
        </w:tc>
        <w:tc>
          <w:tcPr>
            <w:tcW w:w="8963" w:type="dxa"/>
            <w:vAlign w:val="center"/>
          </w:tcPr>
          <w:p>
            <w:pPr>
              <w:jc w:val="both"/>
              <w:rPr>
                <w:rFonts w:hint="eastAsia"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加强消防安全知识教育，严格宿舍、食堂、图书馆、档案馆、后勤等重点区域人员消防安全培训。</w:t>
            </w:r>
          </w:p>
        </w:tc>
        <w:tc>
          <w:tcPr>
            <w:tcW w:w="1695" w:type="dxa"/>
            <w:vAlign w:val="center"/>
          </w:tcPr>
          <w:p>
            <w:pPr>
              <w:jc w:val="center"/>
              <w:rPr>
                <w:rFonts w:hint="eastAsia" w:ascii="仿宋" w:hAnsi="仿宋" w:eastAsia="仿宋" w:cs="仿宋"/>
                <w:color w:val="auto"/>
                <w:spacing w:val="0"/>
                <w:sz w:val="24"/>
                <w:szCs w:val="24"/>
                <w:vertAlign w:val="baseline"/>
                <w:lang w:eastAsia="zh-CN"/>
              </w:rPr>
            </w:pPr>
            <w:r>
              <w:rPr>
                <w:rFonts w:hint="eastAsia" w:ascii="仿宋" w:hAnsi="仿宋" w:eastAsia="仿宋" w:cs="仿宋"/>
                <w:color w:val="auto"/>
                <w:spacing w:val="0"/>
                <w:sz w:val="24"/>
                <w:szCs w:val="24"/>
                <w:vertAlign w:val="baseline"/>
                <w:lang w:val="en-US" w:eastAsia="zh-CN"/>
              </w:rPr>
              <w:t>安全稳定处</w:t>
            </w:r>
          </w:p>
        </w:tc>
        <w:tc>
          <w:tcPr>
            <w:tcW w:w="2280" w:type="dxa"/>
            <w:vAlign w:val="center"/>
          </w:tcPr>
          <w:p>
            <w:pPr>
              <w:jc w:val="center"/>
              <w:rPr>
                <w:rFonts w:hint="eastAsia"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各二级学院、各部门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85" w:type="dxa"/>
            <w:vMerge w:val="continue"/>
            <w:vAlign w:val="center"/>
          </w:tcPr>
          <w:p>
            <w:pPr>
              <w:jc w:val="center"/>
              <w:rPr>
                <w:rFonts w:hint="eastAsia" w:ascii="仿宋" w:hAnsi="仿宋" w:eastAsia="仿宋" w:cs="仿宋"/>
                <w:color w:val="auto"/>
                <w:spacing w:val="0"/>
                <w:sz w:val="24"/>
                <w:szCs w:val="24"/>
                <w:vertAlign w:val="baseline"/>
                <w:lang w:eastAsia="zh-CN"/>
              </w:rPr>
            </w:pPr>
          </w:p>
        </w:tc>
        <w:tc>
          <w:tcPr>
            <w:tcW w:w="645" w:type="dxa"/>
            <w:vAlign w:val="center"/>
          </w:tcPr>
          <w:p>
            <w:pPr>
              <w:jc w:val="center"/>
              <w:rPr>
                <w:rFonts w:hint="default"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118</w:t>
            </w:r>
          </w:p>
        </w:tc>
        <w:tc>
          <w:tcPr>
            <w:tcW w:w="8963" w:type="dxa"/>
            <w:vAlign w:val="center"/>
          </w:tcPr>
          <w:p>
            <w:pPr>
              <w:jc w:val="both"/>
              <w:rPr>
                <w:rFonts w:hint="eastAsia"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强化学校与属地公安部门校地合作，加强校园及周边治安重点部位整治，动员广大师生员工自觉参与平安创建，推进治安防控体系建设。</w:t>
            </w:r>
          </w:p>
        </w:tc>
        <w:tc>
          <w:tcPr>
            <w:tcW w:w="1695" w:type="dxa"/>
            <w:vAlign w:val="center"/>
          </w:tcPr>
          <w:p>
            <w:pPr>
              <w:jc w:val="center"/>
              <w:rPr>
                <w:rFonts w:hint="eastAsia" w:ascii="仿宋" w:hAnsi="仿宋" w:eastAsia="仿宋" w:cs="仿宋"/>
                <w:color w:val="auto"/>
                <w:spacing w:val="0"/>
                <w:sz w:val="24"/>
                <w:szCs w:val="24"/>
                <w:vertAlign w:val="baseline"/>
                <w:lang w:eastAsia="zh-CN"/>
              </w:rPr>
            </w:pPr>
            <w:r>
              <w:rPr>
                <w:rFonts w:hint="eastAsia" w:ascii="仿宋" w:hAnsi="仿宋" w:eastAsia="仿宋" w:cs="仿宋"/>
                <w:color w:val="auto"/>
                <w:spacing w:val="0"/>
                <w:sz w:val="24"/>
                <w:szCs w:val="24"/>
                <w:vertAlign w:val="baseline"/>
                <w:lang w:val="en-US" w:eastAsia="zh-CN"/>
              </w:rPr>
              <w:t>安全稳定处</w:t>
            </w:r>
          </w:p>
        </w:tc>
        <w:tc>
          <w:tcPr>
            <w:tcW w:w="2280" w:type="dxa"/>
            <w:vAlign w:val="center"/>
          </w:tcPr>
          <w:p>
            <w:pPr>
              <w:jc w:val="center"/>
              <w:rPr>
                <w:rFonts w:hint="eastAsia" w:ascii="仿宋" w:hAnsi="仿宋" w:eastAsia="仿宋" w:cs="仿宋"/>
                <w:color w:val="auto"/>
                <w:spacing w:val="0"/>
                <w:sz w:val="24"/>
                <w:szCs w:val="24"/>
                <w:vertAlign w:val="baseline"/>
                <w:lang w:val="en-US" w:eastAsia="zh-CN"/>
              </w:rPr>
            </w:pPr>
            <w:r>
              <w:rPr>
                <w:rFonts w:hint="eastAsia" w:ascii="仿宋" w:hAnsi="仿宋" w:eastAsia="仿宋" w:cs="仿宋"/>
                <w:color w:val="auto"/>
                <w:spacing w:val="0"/>
                <w:sz w:val="24"/>
                <w:szCs w:val="24"/>
                <w:vertAlign w:val="baseline"/>
                <w:lang w:val="en-US" w:eastAsia="zh-CN"/>
              </w:rPr>
              <w:t>各二级学院、各部门</w:t>
            </w:r>
          </w:p>
        </w:tc>
      </w:tr>
    </w:tbl>
    <w:p>
      <w:pPr>
        <w:jc w:val="both"/>
        <w:rPr>
          <w:rFonts w:hint="default" w:ascii="仿宋" w:hAnsi="仿宋" w:eastAsia="仿宋" w:cs="仿宋"/>
          <w:color w:val="auto"/>
          <w:spacing w:val="0"/>
          <w:sz w:val="24"/>
          <w:szCs w:val="24"/>
          <w:vertAlign w:val="baseline"/>
          <w:lang w:val="en-US" w:eastAsia="zh-CN"/>
        </w:rPr>
      </w:pPr>
    </w:p>
    <w:sectPr>
      <w:foot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431CE8"/>
    <w:rsid w:val="01634081"/>
    <w:rsid w:val="092B01DC"/>
    <w:rsid w:val="0ADA4931"/>
    <w:rsid w:val="0D0562AD"/>
    <w:rsid w:val="0FCB221F"/>
    <w:rsid w:val="18F33584"/>
    <w:rsid w:val="19F7707D"/>
    <w:rsid w:val="2000702C"/>
    <w:rsid w:val="22EA3AC2"/>
    <w:rsid w:val="296F1FB6"/>
    <w:rsid w:val="2CA54902"/>
    <w:rsid w:val="2CD128F9"/>
    <w:rsid w:val="37371EC3"/>
    <w:rsid w:val="393B0C7E"/>
    <w:rsid w:val="3E235D34"/>
    <w:rsid w:val="404C7CE6"/>
    <w:rsid w:val="4A6D687E"/>
    <w:rsid w:val="4B3D2DEC"/>
    <w:rsid w:val="4FD077CC"/>
    <w:rsid w:val="54820497"/>
    <w:rsid w:val="58DF3E21"/>
    <w:rsid w:val="67A82736"/>
    <w:rsid w:val="68431CE8"/>
    <w:rsid w:val="6D296E54"/>
    <w:rsid w:val="786A1C47"/>
    <w:rsid w:val="7BE448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rPr>
      <w:rFonts w:ascii="宋体" w:hAnsi="宋体" w:eastAsia="仿宋_GB2312"/>
      <w:bCs/>
      <w:spacing w:val="-6"/>
      <w:sz w:val="32"/>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2022-02-19T07:25:00Z</dcterms:created>
  <dc:creator>邹旗辉</dc:creator>
  <cp:lastModifiedBy>邹旗辉</cp:lastModifiedBy>
  <cp:lastPrinted>2022-02-22T01:49:00Z</cp:lastPrinted>
  <dcterms:modified xsi:type="dcterms:W3CDTF">2022-02-24T06:09:48Z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C9958DDE16C04E6295549BA2015CA2B0</vt:lpwstr>
  </property>
</Properties>
</file>